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D9" w:rsidRPr="00665191" w:rsidRDefault="003259D9" w:rsidP="003259D9">
      <w:pPr>
        <w:spacing w:before="400" w:after="60" w:line="280" w:lineRule="atLeast"/>
        <w:jc w:val="right"/>
        <w:rPr>
          <w:rFonts w:eastAsia="Times New Roman"/>
          <w:bCs/>
          <w:i/>
          <w:iCs/>
          <w:color w:val="4F81BD"/>
          <w:sz w:val="56"/>
          <w:szCs w:val="56"/>
        </w:rPr>
      </w:pPr>
      <w:r w:rsidRPr="00665191">
        <w:rPr>
          <w:rFonts w:eastAsia="Times New Roman"/>
          <w:bCs/>
          <w:i/>
          <w:iCs/>
          <w:color w:val="4F81BD"/>
          <w:sz w:val="56"/>
          <w:szCs w:val="56"/>
        </w:rPr>
        <w:t>Service Delivery and Operations</w:t>
      </w:r>
    </w:p>
    <w:p w:rsidR="003259D9" w:rsidRPr="00665191" w:rsidRDefault="003259D9" w:rsidP="003259D9">
      <w:pPr>
        <w:spacing w:before="400" w:after="60" w:line="280" w:lineRule="atLeast"/>
        <w:jc w:val="right"/>
        <w:rPr>
          <w:rFonts w:eastAsia="Times New Roman"/>
          <w:bCs/>
          <w:i/>
          <w:iCs/>
          <w:color w:val="4F81BD"/>
          <w:sz w:val="56"/>
          <w:szCs w:val="56"/>
        </w:rPr>
      </w:pPr>
      <w:r w:rsidRPr="00665191">
        <w:rPr>
          <w:rFonts w:eastAsia="Times New Roman"/>
          <w:bCs/>
          <w:i/>
          <w:iCs/>
          <w:color w:val="4F81BD"/>
          <w:sz w:val="56"/>
          <w:szCs w:val="56"/>
        </w:rPr>
        <w:t>Customer Experience Survey</w:t>
      </w:r>
    </w:p>
    <w:p w:rsidR="003259D9" w:rsidRPr="00665191" w:rsidRDefault="003259D9" w:rsidP="003259D9">
      <w:pPr>
        <w:spacing w:before="400" w:after="60" w:line="280" w:lineRule="atLeast"/>
        <w:jc w:val="right"/>
        <w:rPr>
          <w:rFonts w:eastAsia="Times New Roman"/>
          <w:bCs/>
          <w:i/>
          <w:iCs/>
          <w:color w:val="4F81BD"/>
          <w:sz w:val="56"/>
          <w:szCs w:val="56"/>
        </w:rPr>
      </w:pPr>
      <w:r w:rsidRPr="00665191">
        <w:rPr>
          <w:rFonts w:eastAsia="Times New Roman"/>
          <w:bCs/>
          <w:i/>
          <w:iCs/>
          <w:color w:val="4F81BD"/>
          <w:sz w:val="56"/>
          <w:szCs w:val="56"/>
        </w:rPr>
        <w:t>2015/16</w:t>
      </w:r>
    </w:p>
    <w:tbl>
      <w:tblPr>
        <w:tblStyle w:val="TableGrid11"/>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4"/>
        <w:gridCol w:w="7345"/>
      </w:tblGrid>
      <w:tr w:rsidR="003259D9" w:rsidRPr="00665191" w:rsidTr="0067489A">
        <w:tc>
          <w:tcPr>
            <w:tcW w:w="2544" w:type="dxa"/>
            <w:vAlign w:val="bottom"/>
          </w:tcPr>
          <w:p w:rsidR="003259D9" w:rsidRPr="00665191" w:rsidRDefault="003259D9" w:rsidP="0067489A">
            <w:pPr>
              <w:spacing w:before="120" w:after="567" w:line="600" w:lineRule="atLeast"/>
              <w:rPr>
                <w:rFonts w:ascii="Calibri" w:eastAsia="Times New Roman" w:hAnsi="Calibri"/>
                <w:color w:val="A7A9AC"/>
                <w:sz w:val="50"/>
                <w:szCs w:val="24"/>
              </w:rPr>
            </w:pPr>
          </w:p>
        </w:tc>
        <w:tc>
          <w:tcPr>
            <w:tcW w:w="7345" w:type="dxa"/>
            <w:tcMar>
              <w:left w:w="851" w:type="dxa"/>
              <w:right w:w="0" w:type="dxa"/>
            </w:tcMar>
            <w:vAlign w:val="bottom"/>
          </w:tcPr>
          <w:p w:rsidR="003259D9" w:rsidRPr="00665191" w:rsidRDefault="003259D9" w:rsidP="0067489A">
            <w:pPr>
              <w:spacing w:before="120" w:after="567" w:line="924" w:lineRule="atLeast"/>
              <w:jc w:val="right"/>
              <w:rPr>
                <w:rFonts w:ascii="Calibri" w:eastAsia="Times New Roman" w:hAnsi="Calibri"/>
                <w:sz w:val="77"/>
                <w:szCs w:val="24"/>
              </w:rPr>
            </w:pPr>
            <w:r w:rsidRPr="00665191">
              <w:rPr>
                <w:rFonts w:ascii="Calibri" w:eastAsia="Times New Roman" w:hAnsi="Calibri"/>
                <w:sz w:val="77"/>
                <w:szCs w:val="24"/>
              </w:rPr>
              <w:t xml:space="preserve">  </w:t>
            </w:r>
          </w:p>
          <w:p w:rsidR="003259D9" w:rsidRPr="00665191" w:rsidRDefault="003259D9" w:rsidP="0067489A">
            <w:pPr>
              <w:spacing w:before="120" w:after="567" w:line="600" w:lineRule="atLeast"/>
              <w:jc w:val="righ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p w:rsidR="003259D9" w:rsidRPr="00665191" w:rsidRDefault="003259D9" w:rsidP="0067489A">
            <w:pPr>
              <w:spacing w:before="120" w:after="567" w:line="600" w:lineRule="atLeast"/>
              <w:rPr>
                <w:rFonts w:ascii="Calibri" w:eastAsia="Times New Roman" w:hAnsi="Calibri"/>
                <w:color w:val="A7A9AC"/>
                <w:sz w:val="50"/>
                <w:szCs w:val="24"/>
              </w:rPr>
            </w:pPr>
          </w:p>
        </w:tc>
      </w:tr>
    </w:tbl>
    <w:p w:rsidR="003259D9" w:rsidRPr="00665191" w:rsidRDefault="003259D9" w:rsidP="003259D9">
      <w:pPr>
        <w:spacing w:before="0" w:after="200" w:line="280" w:lineRule="atLeast"/>
        <w:rPr>
          <w:rFonts w:eastAsia="Times New Roman"/>
          <w:sz w:val="22"/>
        </w:rPr>
      </w:pPr>
    </w:p>
    <w:p w:rsidR="003259D9" w:rsidRPr="00665191" w:rsidRDefault="003259D9" w:rsidP="003259D9">
      <w:pPr>
        <w:spacing w:before="0" w:after="0" w:line="240" w:lineRule="atLeast"/>
        <w:jc w:val="right"/>
        <w:rPr>
          <w:rFonts w:eastAsia="Times New Roman"/>
          <w:sz w:val="20"/>
        </w:rPr>
      </w:pPr>
      <w:r w:rsidRPr="00665191">
        <w:rPr>
          <w:rFonts w:eastAsia="Times New Roman"/>
          <w:sz w:val="20"/>
        </w:rPr>
        <w:t>Branch Development and Support</w:t>
      </w:r>
    </w:p>
    <w:p w:rsidR="003259D9" w:rsidRPr="00665191" w:rsidRDefault="003259D9" w:rsidP="003259D9">
      <w:pPr>
        <w:spacing w:before="0" w:after="0" w:line="240" w:lineRule="atLeast"/>
        <w:jc w:val="right"/>
        <w:rPr>
          <w:rFonts w:eastAsia="Times New Roman"/>
          <w:sz w:val="20"/>
        </w:rPr>
      </w:pPr>
      <w:r w:rsidRPr="00665191">
        <w:rPr>
          <w:rFonts w:eastAsia="Times New Roman"/>
          <w:sz w:val="20"/>
        </w:rPr>
        <w:t>Service Delivery and Operations</w:t>
      </w:r>
    </w:p>
    <w:p w:rsidR="003259D9" w:rsidRPr="00665191" w:rsidRDefault="003259D9" w:rsidP="003259D9">
      <w:pPr>
        <w:spacing w:before="0" w:after="0" w:line="240" w:lineRule="atLeast"/>
        <w:rPr>
          <w:rFonts w:eastAsia="Times New Roman"/>
          <w:sz w:val="20"/>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rPr>
          <w:rFonts w:eastAsia="Times New Roman" w:cs="Arial"/>
          <w:color w:val="4F81BD"/>
        </w:rPr>
      </w:pPr>
      <w:r w:rsidRPr="00665191">
        <w:rPr>
          <w:rFonts w:eastAsia="Times New Roman"/>
          <w:b/>
          <w:bCs/>
          <w:i/>
          <w:iCs/>
          <w:color w:val="4F81BD"/>
          <w:sz w:val="22"/>
        </w:rPr>
        <w:t>Acknowledgements</w:t>
      </w:r>
    </w:p>
    <w:p w:rsidR="003259D9" w:rsidRPr="00665191" w:rsidRDefault="003259D9" w:rsidP="003259D9">
      <w:pPr>
        <w:spacing w:before="0" w:after="0" w:line="280" w:lineRule="atLeast"/>
        <w:rPr>
          <w:rFonts w:eastAsia="Times New Roman" w:cs="Arial"/>
        </w:rPr>
      </w:pPr>
    </w:p>
    <w:p w:rsidR="003259D9" w:rsidRPr="00665191" w:rsidRDefault="003259D9" w:rsidP="003259D9">
      <w:pPr>
        <w:keepNext/>
        <w:spacing w:before="240" w:after="60" w:line="280" w:lineRule="atLeast"/>
        <w:outlineLvl w:val="3"/>
        <w:rPr>
          <w:rFonts w:eastAsia="Times New Roman" w:cs="Arial"/>
          <w:bCs/>
          <w:sz w:val="22"/>
          <w:szCs w:val="22"/>
        </w:rPr>
      </w:pPr>
      <w:r w:rsidRPr="00665191">
        <w:rPr>
          <w:rFonts w:eastAsia="Times New Roman" w:cs="Arial"/>
          <w:bCs/>
          <w:sz w:val="22"/>
          <w:szCs w:val="22"/>
        </w:rPr>
        <w:t>The Department of Internal Affairs acknowledges Mark Johnson and his team at Research New Zealand for their analysis of the data.</w:t>
      </w:r>
    </w:p>
    <w:p w:rsidR="003259D9" w:rsidRPr="00665191" w:rsidRDefault="003259D9" w:rsidP="003259D9">
      <w:pPr>
        <w:keepNext/>
        <w:spacing w:before="240" w:after="60" w:line="280" w:lineRule="atLeast"/>
        <w:outlineLvl w:val="3"/>
        <w:rPr>
          <w:rFonts w:eastAsia="Times New Roman" w:cs="Arial"/>
          <w:bCs/>
          <w:sz w:val="22"/>
          <w:szCs w:val="22"/>
        </w:rPr>
      </w:pPr>
    </w:p>
    <w:p w:rsidR="003259D9" w:rsidRPr="00665191" w:rsidRDefault="003259D9" w:rsidP="003259D9">
      <w:pPr>
        <w:keepNext/>
        <w:spacing w:before="240" w:after="60" w:line="280" w:lineRule="atLeast"/>
        <w:outlineLvl w:val="3"/>
        <w:rPr>
          <w:rFonts w:eastAsia="Times New Roman" w:cs="Arial"/>
          <w:b/>
          <w:bCs/>
          <w:szCs w:val="28"/>
        </w:rPr>
      </w:pPr>
      <w:r w:rsidRPr="00665191">
        <w:rPr>
          <w:rFonts w:eastAsia="Times New Roman" w:cs="Arial"/>
          <w:bCs/>
          <w:sz w:val="22"/>
          <w:szCs w:val="22"/>
        </w:rPr>
        <w:t xml:space="preserve"> Authors: </w:t>
      </w:r>
      <w:proofErr w:type="spellStart"/>
      <w:r w:rsidRPr="00665191">
        <w:rPr>
          <w:rFonts w:eastAsia="Times New Roman" w:cs="Arial"/>
          <w:bCs/>
          <w:sz w:val="22"/>
          <w:szCs w:val="22"/>
        </w:rPr>
        <w:t>Thida</w:t>
      </w:r>
      <w:proofErr w:type="spellEnd"/>
      <w:r w:rsidRPr="00665191">
        <w:rPr>
          <w:rFonts w:eastAsia="Times New Roman" w:cs="Arial"/>
          <w:bCs/>
          <w:sz w:val="22"/>
          <w:szCs w:val="22"/>
        </w:rPr>
        <w:t xml:space="preserve"> </w:t>
      </w:r>
      <w:proofErr w:type="spellStart"/>
      <w:r w:rsidRPr="00665191">
        <w:rPr>
          <w:rFonts w:eastAsia="Times New Roman" w:cs="Arial"/>
          <w:bCs/>
          <w:sz w:val="22"/>
          <w:szCs w:val="22"/>
        </w:rPr>
        <w:t>Seng</w:t>
      </w:r>
      <w:proofErr w:type="spellEnd"/>
      <w:r w:rsidRPr="00665191">
        <w:rPr>
          <w:rFonts w:eastAsia="Times New Roman" w:cs="Arial"/>
          <w:bCs/>
          <w:sz w:val="22"/>
          <w:szCs w:val="22"/>
        </w:rPr>
        <w:t xml:space="preserve"> and Claire </w:t>
      </w:r>
      <w:proofErr w:type="spellStart"/>
      <w:r w:rsidRPr="00665191">
        <w:rPr>
          <w:rFonts w:eastAsia="Times New Roman" w:cs="Arial"/>
          <w:bCs/>
          <w:sz w:val="22"/>
          <w:szCs w:val="22"/>
        </w:rPr>
        <w:t>Harkess</w:t>
      </w:r>
      <w:proofErr w:type="spellEnd"/>
      <w:r w:rsidRPr="00665191">
        <w:rPr>
          <w:rFonts w:eastAsia="Times New Roman" w:cs="Arial"/>
          <w:bCs/>
          <w:sz w:val="22"/>
          <w:szCs w:val="22"/>
        </w:rPr>
        <w:t xml:space="preserve"> - Branch Development and Support</w:t>
      </w:r>
      <w:r w:rsidRPr="00665191">
        <w:rPr>
          <w:rFonts w:eastAsia="Times New Roman" w:cs="Arial"/>
          <w:b/>
          <w:bCs/>
          <w:szCs w:val="28"/>
        </w:rPr>
        <w:br w:type="page"/>
      </w:r>
    </w:p>
    <w:p w:rsidR="003259D9" w:rsidRPr="00665191" w:rsidRDefault="003259D9" w:rsidP="003259D9">
      <w:pPr>
        <w:keepNext/>
        <w:spacing w:before="240" w:after="60" w:line="280" w:lineRule="atLeast"/>
        <w:ind w:left="-426"/>
        <w:outlineLvl w:val="3"/>
        <w:rPr>
          <w:rFonts w:eastAsia="Times New Roman" w:cs="Arial"/>
          <w:b/>
          <w:bCs/>
          <w:szCs w:val="28"/>
        </w:rPr>
      </w:pPr>
    </w:p>
    <w:p w:rsidR="003259D9" w:rsidRPr="00665191" w:rsidRDefault="003259D9" w:rsidP="003259D9">
      <w:pPr>
        <w:keepNext/>
        <w:spacing w:before="240" w:after="60" w:line="280" w:lineRule="atLeast"/>
        <w:outlineLvl w:val="3"/>
        <w:rPr>
          <w:rFonts w:eastAsia="Times New Roman" w:cs="Arial"/>
          <w:b/>
          <w:bCs/>
          <w:szCs w:val="28"/>
        </w:rPr>
      </w:pPr>
      <w:r w:rsidRPr="00665191">
        <w:rPr>
          <w:rFonts w:eastAsia="Times New Roman"/>
          <w:b/>
          <w:i/>
          <w:iCs/>
          <w:color w:val="4F81BD"/>
        </w:rPr>
        <w:t>Introduction</w:t>
      </w:r>
    </w:p>
    <w:p w:rsidR="003259D9" w:rsidRPr="00665191" w:rsidRDefault="003259D9" w:rsidP="003259D9">
      <w:pPr>
        <w:spacing w:before="0" w:after="0" w:line="280" w:lineRule="atLeast"/>
        <w:rPr>
          <w:rFonts w:eastAsia="Times New Roman" w:cs="Arial"/>
        </w:rPr>
      </w:pPr>
      <w:r w:rsidRPr="00665191">
        <w:rPr>
          <w:rFonts w:eastAsia="Times New Roman" w:cs="Arial"/>
        </w:rPr>
        <w:t xml:space="preserve"> </w:t>
      </w: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This report provides a summary of key findings from the 2015/16 Service Delivery and Operations Customer Experience Survey. </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Service Delivery and Operations (</w:t>
      </w:r>
      <w:proofErr w:type="spellStart"/>
      <w:r w:rsidRPr="00665191">
        <w:rPr>
          <w:rFonts w:eastAsia="Times New Roman" w:cs="Arial"/>
          <w:sz w:val="22"/>
          <w:szCs w:val="22"/>
        </w:rPr>
        <w:t>SDO</w:t>
      </w:r>
      <w:proofErr w:type="spellEnd"/>
      <w:r w:rsidRPr="00665191">
        <w:rPr>
          <w:rFonts w:eastAsia="Times New Roman" w:cs="Arial"/>
          <w:sz w:val="22"/>
          <w:szCs w:val="22"/>
        </w:rPr>
        <w:t>) provides a variety of services to the public including passports, community advisory and funding services, birth, death, marriage, civil union, and name change, authentications, citizenship, charities registration, and identity verification services.</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In this survey we seek to understand how the public rates our service, how they interact with </w:t>
      </w:r>
      <w:proofErr w:type="spellStart"/>
      <w:r w:rsidRPr="00665191">
        <w:rPr>
          <w:rFonts w:eastAsia="Times New Roman" w:cs="Arial"/>
          <w:sz w:val="22"/>
          <w:szCs w:val="22"/>
        </w:rPr>
        <w:t>SDO</w:t>
      </w:r>
      <w:proofErr w:type="spellEnd"/>
      <w:r w:rsidRPr="00665191">
        <w:rPr>
          <w:rFonts w:eastAsia="Times New Roman" w:cs="Arial"/>
          <w:sz w:val="22"/>
          <w:szCs w:val="22"/>
        </w:rPr>
        <w:t xml:space="preserve"> and what we can do to improve our service. </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The 2015/16 survey is the fourth in a series of annual surveys to monitor public satisfaction over time, and to monitor responses to changes in our service delivery.</w:t>
      </w:r>
    </w:p>
    <w:p w:rsidR="003259D9" w:rsidRPr="00665191" w:rsidRDefault="003259D9" w:rsidP="003259D9">
      <w:pPr>
        <w:spacing w:before="0" w:after="0" w:line="280" w:lineRule="atLeast"/>
        <w:ind w:left="-426"/>
        <w:rPr>
          <w:rFonts w:eastAsia="Times New Roman" w:cs="Arial"/>
        </w:rPr>
      </w:pPr>
    </w:p>
    <w:p w:rsidR="003259D9" w:rsidRPr="00665191" w:rsidRDefault="003259D9" w:rsidP="003259D9">
      <w:pPr>
        <w:spacing w:before="0" w:after="0" w:line="280" w:lineRule="atLeast"/>
        <w:ind w:left="-426"/>
        <w:rPr>
          <w:rFonts w:eastAsia="Times New Roman" w:cs="Arial"/>
          <w:color w:val="E36C0A"/>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Key Findings</w:t>
      </w:r>
    </w:p>
    <w:p w:rsidR="003259D9" w:rsidRPr="00665191" w:rsidRDefault="003259D9" w:rsidP="003259D9">
      <w:pPr>
        <w:spacing w:before="0" w:after="0" w:line="280" w:lineRule="atLeast"/>
        <w:ind w:left="-426"/>
        <w:rPr>
          <w:rFonts w:eastAsia="Times New Roman" w:cs="Arial"/>
          <w:color w:val="000000" w:themeColor="text1"/>
        </w:rPr>
      </w:pPr>
    </w:p>
    <w:p w:rsidR="003259D9" w:rsidRPr="00665191" w:rsidRDefault="003259D9" w:rsidP="003259D9">
      <w:pPr>
        <w:numPr>
          <w:ilvl w:val="0"/>
          <w:numId w:val="33"/>
        </w:numPr>
        <w:spacing w:before="0" w:after="0" w:line="280" w:lineRule="atLeast"/>
        <w:ind w:left="426" w:hanging="426"/>
        <w:contextualSpacing/>
        <w:rPr>
          <w:rFonts w:eastAsia="Times New Roman" w:cs="Arial"/>
          <w:color w:val="000000" w:themeColor="text1"/>
          <w:sz w:val="22"/>
          <w:szCs w:val="22"/>
        </w:rPr>
      </w:pPr>
      <w:r w:rsidRPr="00665191">
        <w:rPr>
          <w:rFonts w:eastAsia="Times New Roman" w:cs="Arial"/>
          <w:color w:val="000000" w:themeColor="text1"/>
          <w:sz w:val="22"/>
          <w:szCs w:val="22"/>
        </w:rPr>
        <w:t>Overall, Service Delivery and Operations customer satisfaction with the services the Department of Internal Affairs deliver remains high.</w:t>
      </w:r>
    </w:p>
    <w:p w:rsidR="003259D9" w:rsidRPr="00665191" w:rsidRDefault="003259D9" w:rsidP="003259D9">
      <w:pPr>
        <w:spacing w:before="0" w:after="0" w:line="280" w:lineRule="atLeast"/>
        <w:contextualSpacing/>
        <w:rPr>
          <w:rFonts w:eastAsia="Times New Roman" w:cs="Arial"/>
          <w:color w:val="00B0F0"/>
          <w:sz w:val="22"/>
          <w:szCs w:val="22"/>
        </w:rPr>
      </w:pPr>
    </w:p>
    <w:p w:rsidR="003259D9" w:rsidRPr="00AD1109" w:rsidRDefault="003259D9" w:rsidP="003259D9">
      <w:pPr>
        <w:numPr>
          <w:ilvl w:val="0"/>
          <w:numId w:val="33"/>
        </w:numPr>
        <w:spacing w:before="0" w:after="0" w:line="280" w:lineRule="atLeast"/>
        <w:ind w:left="426" w:hanging="426"/>
        <w:contextualSpacing/>
        <w:rPr>
          <w:rFonts w:eastAsia="Times New Roman" w:cs="Arial"/>
          <w:color w:val="000000" w:themeColor="text1"/>
          <w:sz w:val="22"/>
          <w:szCs w:val="22"/>
        </w:rPr>
      </w:pPr>
      <w:r w:rsidRPr="00665191">
        <w:rPr>
          <w:rFonts w:eastAsia="Times New Roman"/>
          <w:color w:val="000000" w:themeColor="text1"/>
          <w:sz w:val="22"/>
          <w:szCs w:val="22"/>
        </w:rPr>
        <w:t xml:space="preserve">Overall </w:t>
      </w:r>
      <w:proofErr w:type="spellStart"/>
      <w:r w:rsidRPr="00665191">
        <w:rPr>
          <w:rFonts w:eastAsia="Times New Roman"/>
          <w:color w:val="000000" w:themeColor="text1"/>
          <w:sz w:val="22"/>
          <w:szCs w:val="22"/>
        </w:rPr>
        <w:t>SDO</w:t>
      </w:r>
      <w:proofErr w:type="spellEnd"/>
      <w:r w:rsidRPr="00665191">
        <w:rPr>
          <w:rFonts w:eastAsia="Times New Roman"/>
          <w:color w:val="000000" w:themeColor="text1"/>
          <w:sz w:val="22"/>
          <w:szCs w:val="22"/>
        </w:rPr>
        <w:t xml:space="preserve"> customers reported that it was easy to do business with Service Delivery and Operations.</w:t>
      </w:r>
    </w:p>
    <w:p w:rsidR="003259D9" w:rsidRDefault="003259D9" w:rsidP="003259D9">
      <w:pPr>
        <w:pStyle w:val="ListParagraph"/>
        <w:rPr>
          <w:rFonts w:eastAsia="Times New Roman" w:cs="Arial"/>
          <w:color w:val="000000" w:themeColor="text1"/>
          <w:sz w:val="22"/>
          <w:szCs w:val="22"/>
        </w:rPr>
      </w:pPr>
    </w:p>
    <w:p w:rsidR="003259D9" w:rsidRPr="00665191" w:rsidRDefault="003259D9" w:rsidP="003259D9">
      <w:pPr>
        <w:numPr>
          <w:ilvl w:val="0"/>
          <w:numId w:val="33"/>
        </w:numPr>
        <w:spacing w:before="0" w:after="0" w:line="280" w:lineRule="atLeast"/>
        <w:ind w:left="426" w:hanging="426"/>
        <w:contextualSpacing/>
        <w:rPr>
          <w:rFonts w:eastAsia="Times New Roman" w:cs="Arial"/>
          <w:color w:val="000000" w:themeColor="text1"/>
          <w:sz w:val="22"/>
          <w:szCs w:val="22"/>
        </w:rPr>
      </w:pPr>
      <w:r w:rsidRPr="00665191">
        <w:rPr>
          <w:rFonts w:eastAsia="Times New Roman" w:cs="Arial"/>
          <w:color w:val="000000" w:themeColor="text1"/>
          <w:sz w:val="22"/>
          <w:szCs w:val="22"/>
        </w:rPr>
        <w:t>Improvements or additions to online services remain a key customer need.</w:t>
      </w:r>
    </w:p>
    <w:p w:rsidR="003259D9" w:rsidRPr="00665191" w:rsidRDefault="003259D9" w:rsidP="003259D9">
      <w:pPr>
        <w:spacing w:before="0" w:after="0" w:line="280" w:lineRule="atLeast"/>
        <w:ind w:left="-426"/>
        <w:rPr>
          <w:rFonts w:eastAsia="Times New Roman" w:cs="Arial"/>
          <w:color w:val="00B0F0"/>
          <w:sz w:val="22"/>
          <w:szCs w:val="22"/>
        </w:rPr>
      </w:pPr>
    </w:p>
    <w:p w:rsidR="003259D9" w:rsidRDefault="003259D9" w:rsidP="003259D9">
      <w:pPr>
        <w:numPr>
          <w:ilvl w:val="0"/>
          <w:numId w:val="33"/>
        </w:numPr>
        <w:spacing w:before="0" w:after="0" w:line="280" w:lineRule="atLeast"/>
        <w:ind w:left="426" w:hanging="426"/>
        <w:rPr>
          <w:rFonts w:eastAsia="Times New Roman" w:cs="Arial"/>
          <w:color w:val="000000" w:themeColor="text1"/>
          <w:sz w:val="22"/>
          <w:szCs w:val="22"/>
        </w:rPr>
      </w:pPr>
      <w:r w:rsidRPr="00665191">
        <w:rPr>
          <w:rFonts w:eastAsia="Times New Roman" w:cs="Arial"/>
          <w:color w:val="000000" w:themeColor="text1"/>
          <w:sz w:val="22"/>
          <w:szCs w:val="22"/>
        </w:rPr>
        <w:t>Customers continue to have high expectations of the service they expect to receive and rated the service they actually received as better than expected.</w:t>
      </w:r>
    </w:p>
    <w:p w:rsidR="003259D9" w:rsidRDefault="003259D9" w:rsidP="003259D9">
      <w:pPr>
        <w:pStyle w:val="ListParagraph"/>
        <w:rPr>
          <w:rFonts w:eastAsia="Times New Roman" w:cs="Arial"/>
          <w:color w:val="000000" w:themeColor="text1"/>
          <w:sz w:val="22"/>
          <w:szCs w:val="22"/>
        </w:rPr>
      </w:pPr>
    </w:p>
    <w:p w:rsidR="003259D9" w:rsidRDefault="003259D9" w:rsidP="003259D9">
      <w:pPr>
        <w:numPr>
          <w:ilvl w:val="0"/>
          <w:numId w:val="33"/>
        </w:numPr>
        <w:spacing w:before="0" w:after="0" w:line="280" w:lineRule="atLeast"/>
        <w:ind w:left="426" w:hanging="426"/>
        <w:rPr>
          <w:rFonts w:eastAsia="Times New Roman" w:cs="Arial"/>
          <w:color w:val="000000" w:themeColor="text1"/>
          <w:sz w:val="22"/>
          <w:szCs w:val="22"/>
        </w:rPr>
      </w:pPr>
      <w:r>
        <w:rPr>
          <w:rFonts w:eastAsia="Times New Roman" w:cs="Arial"/>
          <w:color w:val="000000" w:themeColor="text1"/>
          <w:sz w:val="22"/>
          <w:szCs w:val="22"/>
        </w:rPr>
        <w:t xml:space="preserve">Interactions with </w:t>
      </w:r>
      <w:proofErr w:type="spellStart"/>
      <w:r>
        <w:rPr>
          <w:rFonts w:eastAsia="Times New Roman" w:cs="Arial"/>
          <w:color w:val="000000" w:themeColor="text1"/>
          <w:sz w:val="22"/>
          <w:szCs w:val="22"/>
        </w:rPr>
        <w:t>SDO</w:t>
      </w:r>
      <w:proofErr w:type="spellEnd"/>
      <w:r>
        <w:rPr>
          <w:rFonts w:eastAsia="Times New Roman" w:cs="Arial"/>
          <w:color w:val="000000" w:themeColor="text1"/>
          <w:sz w:val="22"/>
          <w:szCs w:val="22"/>
        </w:rPr>
        <w:t xml:space="preserve"> staff remain highly rated.</w:t>
      </w:r>
    </w:p>
    <w:p w:rsidR="003259D9" w:rsidRDefault="003259D9" w:rsidP="003259D9">
      <w:pPr>
        <w:pStyle w:val="ListParagraph"/>
        <w:rPr>
          <w:rFonts w:eastAsia="Times New Roman" w:cs="Arial"/>
          <w:color w:val="000000" w:themeColor="text1"/>
          <w:sz w:val="22"/>
          <w:szCs w:val="22"/>
        </w:rPr>
      </w:pPr>
    </w:p>
    <w:p w:rsidR="003259D9" w:rsidRPr="00665191" w:rsidRDefault="003259D9" w:rsidP="003259D9">
      <w:pPr>
        <w:numPr>
          <w:ilvl w:val="0"/>
          <w:numId w:val="33"/>
        </w:numPr>
        <w:spacing w:before="0" w:after="0" w:line="280" w:lineRule="atLeast"/>
        <w:ind w:left="426" w:hanging="426"/>
        <w:rPr>
          <w:rFonts w:eastAsia="Times New Roman" w:cs="Arial"/>
          <w:color w:val="000000" w:themeColor="text1"/>
          <w:sz w:val="22"/>
          <w:szCs w:val="22"/>
        </w:rPr>
      </w:pPr>
      <w:r>
        <w:rPr>
          <w:rFonts w:eastAsia="Times New Roman" w:cs="Arial"/>
          <w:color w:val="000000" w:themeColor="text1"/>
          <w:sz w:val="22"/>
          <w:szCs w:val="22"/>
        </w:rPr>
        <w:t>Customers</w:t>
      </w:r>
      <w:r w:rsidRPr="00665191">
        <w:rPr>
          <w:rFonts w:eastAsia="Times New Roman" w:cs="Arial"/>
          <w:color w:val="000000" w:themeColor="text1"/>
          <w:sz w:val="22"/>
          <w:szCs w:val="22"/>
        </w:rPr>
        <w:t xml:space="preserve"> continue to have high trust a</w:t>
      </w:r>
      <w:r>
        <w:rPr>
          <w:rFonts w:eastAsia="Times New Roman" w:cs="Arial"/>
          <w:color w:val="000000" w:themeColor="text1"/>
          <w:sz w:val="22"/>
          <w:szCs w:val="22"/>
        </w:rPr>
        <w:t>nd confidence in the Department</w:t>
      </w:r>
    </w:p>
    <w:p w:rsidR="003259D9" w:rsidRPr="00665191" w:rsidRDefault="003259D9" w:rsidP="003259D9">
      <w:pPr>
        <w:spacing w:before="0" w:after="0" w:line="280" w:lineRule="atLeast"/>
        <w:ind w:left="-426"/>
        <w:rPr>
          <w:rFonts w:eastAsia="Times New Roman" w:cs="Arial"/>
          <w:color w:val="000000" w:themeColor="text1"/>
          <w:sz w:val="22"/>
          <w:szCs w:val="22"/>
        </w:rPr>
      </w:pPr>
    </w:p>
    <w:p w:rsidR="003259D9" w:rsidRPr="00665191" w:rsidRDefault="003259D9" w:rsidP="003259D9">
      <w:pPr>
        <w:spacing w:before="0" w:after="0" w:line="280" w:lineRule="atLeast"/>
        <w:ind w:left="720"/>
        <w:contextualSpacing/>
        <w:rPr>
          <w:rFonts w:eastAsia="Times New Roman" w:cs="Arial"/>
        </w:rPr>
      </w:pPr>
    </w:p>
    <w:p w:rsidR="003259D9" w:rsidRPr="00665191" w:rsidRDefault="003259D9" w:rsidP="003259D9">
      <w:pPr>
        <w:spacing w:before="0" w:after="0" w:line="280" w:lineRule="atLeast"/>
        <w:rPr>
          <w:rFonts w:eastAsia="Times New Roman" w:cs="Arial"/>
        </w:rPr>
      </w:pPr>
      <w:r w:rsidRPr="00665191">
        <w:rPr>
          <w:rFonts w:eastAsia="Times New Roman" w:cs="Arial"/>
        </w:rPr>
        <w:br w:type="page"/>
      </w:r>
    </w:p>
    <w:p w:rsidR="003259D9" w:rsidRDefault="003259D9" w:rsidP="003259D9">
      <w:pPr>
        <w:spacing w:before="0" w:after="0" w:line="280" w:lineRule="atLeast"/>
        <w:ind w:left="-284"/>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Overall Satisfaction</w:t>
      </w:r>
    </w:p>
    <w:p w:rsidR="003259D9" w:rsidRPr="00665191" w:rsidRDefault="003259D9" w:rsidP="003259D9">
      <w:pPr>
        <w:spacing w:before="0" w:after="0" w:line="280" w:lineRule="atLeast"/>
        <w:rPr>
          <w:rFonts w:eastAsia="Times New Roman" w:cs="Arial"/>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Most customers (91 per cent) were satisfied or very satisfied with the overall quality of </w:t>
      </w:r>
      <w:proofErr w:type="spellStart"/>
      <w:r w:rsidRPr="00665191">
        <w:rPr>
          <w:rFonts w:eastAsia="Times New Roman" w:cs="Arial"/>
          <w:sz w:val="22"/>
          <w:szCs w:val="22"/>
        </w:rPr>
        <w:t>SDO</w:t>
      </w:r>
      <w:proofErr w:type="spellEnd"/>
      <w:r w:rsidRPr="00665191">
        <w:rPr>
          <w:rFonts w:eastAsia="Times New Roman" w:cs="Arial"/>
          <w:sz w:val="22"/>
          <w:szCs w:val="22"/>
        </w:rPr>
        <w:t xml:space="preserve"> service delivery. Results in 2015/16 were basically the same as in 2014/15, reflecting the maintenance of a high level of service.</w:t>
      </w:r>
      <w:r w:rsidRPr="00665191">
        <w:rPr>
          <w:rFonts w:eastAsia="Times New Roman" w:cs="Arial"/>
          <w:szCs w:val="22"/>
          <w:vertAlign w:val="superscript"/>
        </w:rPr>
        <w:footnoteReference w:id="1"/>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rPr>
      </w:pPr>
      <w:r w:rsidRPr="00665191">
        <w:rPr>
          <w:rFonts w:eastAsia="Times New Roman" w:cs="Arial"/>
          <w:noProof/>
          <w:lang w:eastAsia="en-NZ"/>
        </w:rPr>
        <w:drawing>
          <wp:inline distT="0" distB="0" distL="0" distR="0" wp14:anchorId="2BF1B24F" wp14:editId="72523958">
            <wp:extent cx="5168824" cy="231611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9383" cy="2320846"/>
                    </a:xfrm>
                    <a:prstGeom prst="rect">
                      <a:avLst/>
                    </a:prstGeom>
                    <a:noFill/>
                  </pic:spPr>
                </pic:pic>
              </a:graphicData>
            </a:graphic>
          </wp:inline>
        </w:drawing>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 Customer Experience Survey 2015/16</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color w:val="000000" w:themeColor="text1"/>
          <w:sz w:val="22"/>
        </w:rPr>
      </w:pPr>
      <w:r w:rsidRPr="00665191">
        <w:rPr>
          <w:rFonts w:eastAsia="Times New Roman" w:cs="Arial"/>
          <w:sz w:val="22"/>
          <w:szCs w:val="22"/>
        </w:rPr>
        <w:t>Overall satisfaction with Community Operations is slightly lower than the previous year, with 80% of customers satisfied or very satisfied with that service.</w:t>
      </w:r>
      <w:r w:rsidRPr="00665191">
        <w:rPr>
          <w:rFonts w:eastAsia="Times New Roman" w:cs="Arial"/>
          <w:szCs w:val="22"/>
          <w:vertAlign w:val="superscript"/>
        </w:rPr>
        <w:footnoteReference w:id="2"/>
      </w:r>
      <w:r w:rsidRPr="00665191">
        <w:rPr>
          <w:rFonts w:eastAsia="Times New Roman" w:cs="Arial"/>
          <w:sz w:val="22"/>
          <w:szCs w:val="22"/>
        </w:rPr>
        <w:t xml:space="preserve"> </w:t>
      </w:r>
      <w:r w:rsidRPr="00665191">
        <w:rPr>
          <w:color w:val="000000" w:themeColor="text1"/>
          <w:sz w:val="22"/>
        </w:rPr>
        <w:t xml:space="preserve">This result may reflect the initial implementation of the new grant management system from October 2014.  Prior to implementation customers had a choice to apply on line or through a paper application process.  After implementation, applications could only be made online. </w:t>
      </w:r>
      <w:r>
        <w:rPr>
          <w:color w:val="000000" w:themeColor="text1"/>
          <w:sz w:val="22"/>
        </w:rPr>
        <w:t xml:space="preserve"> </w:t>
      </w:r>
      <w:r w:rsidRPr="00665191">
        <w:rPr>
          <w:color w:val="000000" w:themeColor="text1"/>
          <w:sz w:val="22"/>
        </w:rPr>
        <w:t xml:space="preserve">Although the new system has received positive feedback, we were aware that some customers would need the assistance of staff to make an online application until they were used to the new system.  </w:t>
      </w:r>
      <w:proofErr w:type="gramStart"/>
      <w:r w:rsidRPr="00665191">
        <w:rPr>
          <w:color w:val="000000" w:themeColor="text1"/>
          <w:sz w:val="22"/>
        </w:rPr>
        <w:t>Staff work</w:t>
      </w:r>
      <w:proofErr w:type="gramEnd"/>
      <w:r w:rsidRPr="00665191">
        <w:rPr>
          <w:color w:val="000000" w:themeColor="text1"/>
          <w:sz w:val="22"/>
        </w:rPr>
        <w:t xml:space="preserve"> actively to assist these customers.   Continuous improvements are being made to the system, based on customer and staff experience, and the application systems thinking methodology.  The timing of the survey does not capture these later experiences. </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Examples of positive feedback provided by customers:</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i/>
          <w:sz w:val="22"/>
          <w:szCs w:val="22"/>
          <w:lang w:val="en-US"/>
        </w:rPr>
      </w:pPr>
      <w:r w:rsidRPr="00665191">
        <w:rPr>
          <w:rFonts w:eastAsia="Times New Roman" w:cs="Arial"/>
          <w:i/>
          <w:sz w:val="22"/>
          <w:szCs w:val="22"/>
          <w:lang w:val="en-US"/>
        </w:rPr>
        <w:t>The online service is excellent. I have been using it for over eight years now, but [in] the recent two years the system has really been streamlined and we receive death certificates the following day</w:t>
      </w:r>
    </w:p>
    <w:p w:rsidR="003259D9" w:rsidRPr="00665191" w:rsidRDefault="003259D9" w:rsidP="003259D9">
      <w:pPr>
        <w:spacing w:before="0" w:after="0" w:line="280" w:lineRule="atLeast"/>
        <w:rPr>
          <w:rFonts w:eastAsia="Times New Roman" w:cs="Arial"/>
          <w:i/>
          <w:sz w:val="22"/>
          <w:szCs w:val="22"/>
          <w:lang w:val="en-US"/>
        </w:rPr>
      </w:pPr>
    </w:p>
    <w:p w:rsidR="003259D9" w:rsidRPr="00665191" w:rsidRDefault="003259D9" w:rsidP="003259D9">
      <w:pPr>
        <w:spacing w:before="0" w:after="0" w:line="280" w:lineRule="atLeast"/>
        <w:rPr>
          <w:rFonts w:eastAsia="Times New Roman" w:cs="Arial"/>
          <w:i/>
          <w:sz w:val="22"/>
          <w:szCs w:val="22"/>
          <w:lang w:val="en-US"/>
        </w:rPr>
      </w:pPr>
      <w:r w:rsidRPr="00665191">
        <w:rPr>
          <w:rFonts w:eastAsia="Times New Roman" w:cs="Arial"/>
          <w:i/>
          <w:sz w:val="22"/>
          <w:szCs w:val="22"/>
          <w:lang w:val="en-US"/>
        </w:rPr>
        <w:t>I actually got my passport within 24 hours which actually amazed me and I didn't have to go hunting for a lot of paperwork, birth certificate and marriage license</w:t>
      </w:r>
    </w:p>
    <w:p w:rsidR="003259D9" w:rsidRPr="00665191" w:rsidRDefault="003259D9" w:rsidP="003259D9">
      <w:pPr>
        <w:spacing w:before="0" w:after="0" w:line="280" w:lineRule="atLeast"/>
        <w:rPr>
          <w:rFonts w:eastAsia="Times New Roman" w:cs="Arial"/>
          <w:i/>
          <w:sz w:val="22"/>
          <w:szCs w:val="22"/>
          <w:lang w:val="en-US"/>
        </w:rPr>
      </w:pPr>
    </w:p>
    <w:p w:rsidR="003259D9" w:rsidRPr="00665191" w:rsidRDefault="003259D9" w:rsidP="003259D9">
      <w:pPr>
        <w:spacing w:before="0" w:after="0" w:line="280" w:lineRule="atLeast"/>
        <w:rPr>
          <w:rFonts w:eastAsia="Times New Roman" w:cs="Arial"/>
          <w:i/>
          <w:sz w:val="22"/>
          <w:szCs w:val="22"/>
          <w:lang w:val="en-US"/>
        </w:rPr>
      </w:pPr>
      <w:r w:rsidRPr="00665191">
        <w:rPr>
          <w:rFonts w:eastAsia="Times New Roman" w:cs="Arial"/>
          <w:i/>
          <w:sz w:val="22"/>
          <w:szCs w:val="22"/>
          <w:lang w:val="en-US"/>
        </w:rPr>
        <w:t>The services are brilliant very easy to follow and use, and when we rang we didn't get a computer we got a real human to talk to which was great</w:t>
      </w:r>
    </w:p>
    <w:p w:rsidR="003259D9" w:rsidRPr="00665191" w:rsidRDefault="003259D9" w:rsidP="003259D9">
      <w:pPr>
        <w:spacing w:before="0" w:after="0" w:line="280" w:lineRule="atLeast"/>
        <w:rPr>
          <w:rFonts w:eastAsia="Times New Roman" w:cs="Arial"/>
          <w:i/>
          <w:sz w:val="22"/>
          <w:szCs w:val="22"/>
          <w:lang w:val="en-US"/>
        </w:rPr>
      </w:pPr>
    </w:p>
    <w:p w:rsidR="003259D9" w:rsidRPr="00665191" w:rsidRDefault="003259D9" w:rsidP="003259D9">
      <w:pPr>
        <w:rPr>
          <w:i/>
          <w:color w:val="000000" w:themeColor="text1"/>
          <w:sz w:val="22"/>
          <w:szCs w:val="22"/>
        </w:rPr>
      </w:pPr>
      <w:r w:rsidRPr="00665191">
        <w:rPr>
          <w:i/>
          <w:color w:val="000000" w:themeColor="text1"/>
          <w:sz w:val="22"/>
          <w:szCs w:val="22"/>
        </w:rPr>
        <w:t>Fantastic, easy new online system to apply for COGS and back</w:t>
      </w:r>
      <w:r>
        <w:rPr>
          <w:i/>
          <w:color w:val="000000" w:themeColor="text1"/>
          <w:sz w:val="22"/>
          <w:szCs w:val="22"/>
        </w:rPr>
        <w:t>ed</w:t>
      </w:r>
      <w:r w:rsidRPr="00665191">
        <w:rPr>
          <w:i/>
          <w:color w:val="000000" w:themeColor="text1"/>
          <w:sz w:val="22"/>
          <w:szCs w:val="22"/>
        </w:rPr>
        <w:t xml:space="preserve"> up with quick response</w:t>
      </w:r>
      <w:r>
        <w:rPr>
          <w:i/>
          <w:color w:val="000000" w:themeColor="text1"/>
          <w:sz w:val="22"/>
          <w:szCs w:val="22"/>
        </w:rPr>
        <w:t xml:space="preserve"> to</w:t>
      </w:r>
      <w:r w:rsidRPr="00665191">
        <w:rPr>
          <w:i/>
          <w:color w:val="000000" w:themeColor="text1"/>
          <w:sz w:val="22"/>
          <w:szCs w:val="22"/>
        </w:rPr>
        <w:t xml:space="preserve"> emails</w:t>
      </w:r>
    </w:p>
    <w:p w:rsidR="003259D9" w:rsidRPr="00665191" w:rsidRDefault="003259D9" w:rsidP="003259D9">
      <w:pPr>
        <w:rPr>
          <w:i/>
          <w:color w:val="000000" w:themeColor="text1"/>
          <w:sz w:val="20"/>
          <w:szCs w:val="22"/>
        </w:rPr>
      </w:pPr>
      <w:r w:rsidRPr="00665191">
        <w:rPr>
          <w:i/>
          <w:sz w:val="22"/>
        </w:rPr>
        <w:t xml:space="preserve">Your </w:t>
      </w:r>
      <w:proofErr w:type="gramStart"/>
      <w:r w:rsidRPr="00665191">
        <w:rPr>
          <w:i/>
          <w:sz w:val="22"/>
        </w:rPr>
        <w:t>staff were</w:t>
      </w:r>
      <w:proofErr w:type="gramEnd"/>
      <w:r w:rsidRPr="00665191">
        <w:rPr>
          <w:i/>
          <w:sz w:val="22"/>
        </w:rPr>
        <w:t xml:space="preserve"> amazingly helpful and knowledgeable about the process and were a pleasure to deal with either by phone or email</w:t>
      </w:r>
    </w:p>
    <w:p w:rsidR="003259D9" w:rsidRDefault="003259D9" w:rsidP="003259D9">
      <w:pPr>
        <w:spacing w:before="0" w:after="0" w:line="280" w:lineRule="atLeast"/>
        <w:ind w:left="-426"/>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Service Expectations and Experience</w:t>
      </w:r>
    </w:p>
    <w:p w:rsidR="003259D9" w:rsidRPr="00665191" w:rsidRDefault="003259D9" w:rsidP="003259D9">
      <w:pPr>
        <w:spacing w:before="0" w:after="0" w:line="280" w:lineRule="atLeast"/>
        <w:rPr>
          <w:rFonts w:eastAsia="Times New Roman"/>
          <w:b/>
          <w:bCs/>
          <w:iCs/>
          <w:color w:val="4F81BD"/>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Over half of </w:t>
      </w:r>
      <w:proofErr w:type="spellStart"/>
      <w:r w:rsidRPr="00665191">
        <w:rPr>
          <w:rFonts w:eastAsia="Times New Roman" w:cs="Arial"/>
          <w:sz w:val="22"/>
          <w:szCs w:val="22"/>
        </w:rPr>
        <w:t>SDO</w:t>
      </w:r>
      <w:proofErr w:type="spellEnd"/>
      <w:r w:rsidRPr="00665191">
        <w:rPr>
          <w:rFonts w:eastAsia="Times New Roman" w:cs="Arial"/>
          <w:sz w:val="22"/>
          <w:szCs w:val="22"/>
        </w:rPr>
        <w:t xml:space="preserve"> customers had high expectations of the quality of service they would receive </w:t>
      </w:r>
      <w:r w:rsidRPr="00665191">
        <w:rPr>
          <w:rFonts w:eastAsia="Times New Roman" w:cs="Arial"/>
          <w:sz w:val="22"/>
          <w:szCs w:val="22"/>
          <w:u w:val="single"/>
        </w:rPr>
        <w:t>and</w:t>
      </w:r>
      <w:r w:rsidRPr="00665191">
        <w:rPr>
          <w:rFonts w:eastAsia="Times New Roman" w:cs="Arial"/>
          <w:sz w:val="22"/>
          <w:szCs w:val="22"/>
        </w:rPr>
        <w:t xml:space="preserve"> felt that the resulting service received was better than expected.  </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noProof/>
          <w:lang w:eastAsia="en-NZ"/>
        </w:rPr>
        <w:drawing>
          <wp:inline distT="0" distB="0" distL="0" distR="0" wp14:anchorId="576EE219" wp14:editId="53E4BFF5">
            <wp:extent cx="5125453" cy="290387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34390" cy="2908941"/>
                    </a:xfrm>
                    <a:prstGeom prst="rect">
                      <a:avLst/>
                    </a:prstGeom>
                  </pic:spPr>
                </pic:pic>
              </a:graphicData>
            </a:graphic>
          </wp:inline>
        </w:drawing>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 Customer Experience Survey 2015/16</w:t>
      </w:r>
    </w:p>
    <w:p w:rsidR="003259D9" w:rsidRPr="00665191" w:rsidRDefault="003259D9" w:rsidP="003259D9">
      <w:pPr>
        <w:spacing w:before="0" w:after="0" w:line="280" w:lineRule="atLeast"/>
        <w:rPr>
          <w:rFonts w:eastAsia="Times New Roman" w:cs="Arial"/>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Key Service Measures</w:t>
      </w:r>
    </w:p>
    <w:p w:rsidR="003259D9" w:rsidRPr="00665191" w:rsidRDefault="003259D9" w:rsidP="003259D9">
      <w:pPr>
        <w:spacing w:before="0" w:after="0" w:line="280" w:lineRule="atLeast"/>
        <w:rPr>
          <w:rFonts w:eastAsia="Times New Roman"/>
          <w:b/>
          <w:bCs/>
          <w:iCs/>
          <w:color w:val="4F81BD"/>
        </w:rPr>
      </w:pPr>
    </w:p>
    <w:p w:rsidR="003259D9" w:rsidRDefault="003259D9" w:rsidP="003259D9">
      <w:pPr>
        <w:spacing w:before="0" w:after="0" w:line="280" w:lineRule="atLeast"/>
        <w:rPr>
          <w:rFonts w:eastAsia="Times New Roman" w:cs="Arial"/>
          <w:sz w:val="22"/>
          <w:szCs w:val="22"/>
        </w:rPr>
      </w:pPr>
      <w:proofErr w:type="spellStart"/>
      <w:r w:rsidRPr="00451C78">
        <w:rPr>
          <w:rFonts w:eastAsia="Times New Roman" w:cs="Arial"/>
          <w:sz w:val="22"/>
          <w:szCs w:val="22"/>
        </w:rPr>
        <w:t>SDO</w:t>
      </w:r>
      <w:proofErr w:type="spellEnd"/>
      <w:r w:rsidRPr="00451C78">
        <w:rPr>
          <w:rFonts w:eastAsia="Times New Roman" w:cs="Arial"/>
          <w:sz w:val="22"/>
          <w:szCs w:val="22"/>
        </w:rPr>
        <w:t xml:space="preserve"> customers rated the key service measures highly. </w:t>
      </w:r>
      <w:r>
        <w:rPr>
          <w:rFonts w:eastAsia="Times New Roman" w:cs="Arial"/>
          <w:sz w:val="22"/>
          <w:szCs w:val="22"/>
        </w:rPr>
        <w:t xml:space="preserve"> </w:t>
      </w:r>
      <w:r w:rsidRPr="00451C78">
        <w:rPr>
          <w:rFonts w:eastAsia="Times New Roman" w:cs="Arial"/>
          <w:sz w:val="22"/>
          <w:szCs w:val="22"/>
        </w:rPr>
        <w:t xml:space="preserve">In particular “Staff </w:t>
      </w:r>
      <w:proofErr w:type="gramStart"/>
      <w:r w:rsidRPr="00451C78">
        <w:rPr>
          <w:rFonts w:eastAsia="Times New Roman" w:cs="Arial"/>
          <w:sz w:val="22"/>
          <w:szCs w:val="22"/>
        </w:rPr>
        <w:t>were</w:t>
      </w:r>
      <w:proofErr w:type="gramEnd"/>
      <w:r w:rsidRPr="00451C78">
        <w:rPr>
          <w:rFonts w:eastAsia="Times New Roman" w:cs="Arial"/>
          <w:sz w:val="22"/>
          <w:szCs w:val="22"/>
        </w:rPr>
        <w:t xml:space="preserve"> competent”, “Staff did what they said they would do”, and </w:t>
      </w:r>
      <w:r>
        <w:rPr>
          <w:rFonts w:eastAsia="Times New Roman" w:cs="Arial"/>
          <w:sz w:val="22"/>
          <w:szCs w:val="22"/>
        </w:rPr>
        <w:t xml:space="preserve">“I was treated fairly” were all rated </w:t>
      </w:r>
      <w:r w:rsidRPr="00451C78">
        <w:rPr>
          <w:rFonts w:eastAsia="Times New Roman" w:cs="Arial"/>
          <w:sz w:val="22"/>
          <w:szCs w:val="22"/>
        </w:rPr>
        <w:t>highly by more than 90 per cent of respondent.</w:t>
      </w:r>
      <w:r>
        <w:rPr>
          <w:rFonts w:eastAsia="Times New Roman" w:cs="Arial"/>
          <w:sz w:val="22"/>
          <w:szCs w:val="22"/>
        </w:rPr>
        <w:t xml:space="preserve"> </w:t>
      </w:r>
      <w:r w:rsidRPr="00451C78">
        <w:rPr>
          <w:rFonts w:eastAsia="Times New Roman" w:cs="Arial"/>
          <w:sz w:val="22"/>
          <w:szCs w:val="22"/>
        </w:rPr>
        <w:t xml:space="preserve"> These three measures relate directly to service received from </w:t>
      </w:r>
      <w:proofErr w:type="spellStart"/>
      <w:r w:rsidRPr="00451C78">
        <w:rPr>
          <w:rFonts w:eastAsia="Times New Roman" w:cs="Arial"/>
          <w:sz w:val="22"/>
          <w:szCs w:val="22"/>
        </w:rPr>
        <w:t>SDO</w:t>
      </w:r>
      <w:proofErr w:type="spellEnd"/>
      <w:r w:rsidRPr="00451C78">
        <w:rPr>
          <w:rFonts w:eastAsia="Times New Roman" w:cs="Arial"/>
          <w:sz w:val="22"/>
          <w:szCs w:val="22"/>
        </w:rPr>
        <w:t xml:space="preserve"> staff.</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noProof/>
          <w:lang w:eastAsia="en-NZ"/>
        </w:rPr>
      </w:pPr>
      <w:r w:rsidRPr="00665191">
        <w:rPr>
          <w:rFonts w:eastAsia="Times New Roman" w:cs="Arial"/>
          <w:noProof/>
          <w:lang w:eastAsia="en-NZ"/>
        </w:rPr>
        <w:drawing>
          <wp:inline distT="0" distB="0" distL="0" distR="0" wp14:anchorId="09A502E8" wp14:editId="1A6D3D26">
            <wp:extent cx="5454316" cy="309389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9916" cy="3097071"/>
                    </a:xfrm>
                    <a:prstGeom prst="rect">
                      <a:avLst/>
                    </a:prstGeom>
                    <a:noFill/>
                  </pic:spPr>
                </pic:pic>
              </a:graphicData>
            </a:graphic>
          </wp:inline>
        </w:drawing>
      </w:r>
    </w:p>
    <w:p w:rsidR="003259D9" w:rsidRPr="00665191" w:rsidRDefault="003259D9" w:rsidP="003259D9">
      <w:pPr>
        <w:spacing w:before="0" w:after="0" w:line="280" w:lineRule="atLeast"/>
        <w:rPr>
          <w:rFonts w:eastAsia="Times New Roman" w:cs="Arial"/>
          <w:sz w:val="18"/>
          <w:szCs w:val="18"/>
        </w:rPr>
      </w:pPr>
      <w:r>
        <w:rPr>
          <w:rFonts w:eastAsia="Times New Roman" w:cs="Arial"/>
          <w:sz w:val="18"/>
          <w:szCs w:val="18"/>
        </w:rPr>
        <w:t>Note: Only</w:t>
      </w:r>
      <w:r w:rsidRPr="00665191">
        <w:rPr>
          <w:rFonts w:eastAsia="Times New Roman" w:cs="Arial"/>
          <w:sz w:val="18"/>
          <w:szCs w:val="18"/>
        </w:rPr>
        <w:t xml:space="preserve"> customers who had had direct contact with an </w:t>
      </w:r>
      <w:proofErr w:type="spellStart"/>
      <w:r w:rsidRPr="00665191">
        <w:rPr>
          <w:rFonts w:eastAsia="Times New Roman" w:cs="Arial"/>
          <w:sz w:val="18"/>
          <w:szCs w:val="18"/>
        </w:rPr>
        <w:t>SDO</w:t>
      </w:r>
      <w:proofErr w:type="spellEnd"/>
      <w:r w:rsidRPr="00665191">
        <w:rPr>
          <w:rFonts w:eastAsia="Times New Roman" w:cs="Arial"/>
          <w:sz w:val="18"/>
          <w:szCs w:val="18"/>
        </w:rPr>
        <w:t xml:space="preserve"> representative were asked whether Staff were competent, Staff did what they said they would do, or I was treated fairly.       </w:t>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 Customer Experience Survey 2015/16</w:t>
      </w:r>
    </w:p>
    <w:p w:rsidR="003259D9" w:rsidRPr="00665191" w:rsidRDefault="003259D9" w:rsidP="003259D9">
      <w:pPr>
        <w:spacing w:before="0" w:after="0" w:line="280" w:lineRule="atLeast"/>
        <w:ind w:left="-426"/>
        <w:rPr>
          <w:rFonts w:eastAsia="Times New Roman"/>
          <w:b/>
          <w:bCs/>
          <w:i/>
          <w:iCs/>
          <w:color w:val="4F81BD"/>
        </w:rPr>
      </w:pPr>
    </w:p>
    <w:p w:rsidR="003259D9" w:rsidRDefault="003259D9" w:rsidP="003259D9">
      <w:pPr>
        <w:spacing w:before="0" w:after="0" w:line="280" w:lineRule="atLeast"/>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Trust and Confidence</w:t>
      </w:r>
    </w:p>
    <w:p w:rsidR="003259D9" w:rsidRPr="00665191" w:rsidRDefault="003259D9" w:rsidP="003259D9">
      <w:pPr>
        <w:spacing w:before="0" w:after="0" w:line="280" w:lineRule="atLeast"/>
        <w:rPr>
          <w:rFonts w:eastAsia="Times New Roman"/>
          <w:b/>
          <w:bCs/>
          <w:iCs/>
          <w:color w:val="4F81BD"/>
        </w:rPr>
      </w:pPr>
    </w:p>
    <w:p w:rsidR="003259D9" w:rsidRPr="00665191" w:rsidRDefault="003259D9" w:rsidP="003259D9">
      <w:pPr>
        <w:spacing w:before="0" w:after="0" w:line="280" w:lineRule="atLeast"/>
        <w:rPr>
          <w:rFonts w:eastAsia="Times New Roman" w:cs="Arial"/>
          <w:sz w:val="22"/>
          <w:szCs w:val="22"/>
        </w:rPr>
      </w:pPr>
      <w:proofErr w:type="spellStart"/>
      <w:r w:rsidRPr="00665191">
        <w:rPr>
          <w:rFonts w:eastAsia="Times New Roman" w:cs="Arial"/>
          <w:sz w:val="22"/>
          <w:szCs w:val="22"/>
        </w:rPr>
        <w:t>SDO</w:t>
      </w:r>
      <w:proofErr w:type="spellEnd"/>
      <w:r w:rsidRPr="00665191">
        <w:rPr>
          <w:rFonts w:eastAsia="Times New Roman" w:cs="Arial"/>
          <w:sz w:val="22"/>
          <w:szCs w:val="22"/>
        </w:rPr>
        <w:t xml:space="preserve"> customers continue to report high trust and confidence in the Department of Internal Affairs.</w:t>
      </w:r>
      <w:r w:rsidRPr="00665191">
        <w:rPr>
          <w:rFonts w:eastAsia="Times New Roman" w:cs="Arial"/>
          <w:sz w:val="22"/>
          <w:szCs w:val="22"/>
          <w:vertAlign w:val="superscript"/>
        </w:rPr>
        <w:t xml:space="preserve"> </w:t>
      </w:r>
      <w:r w:rsidRPr="00665191">
        <w:rPr>
          <w:rFonts w:eastAsia="Times New Roman" w:cs="Arial"/>
          <w:sz w:val="22"/>
          <w:szCs w:val="22"/>
          <w:vertAlign w:val="superscript"/>
        </w:rPr>
        <w:footnoteReference w:id="3"/>
      </w:r>
    </w:p>
    <w:p w:rsidR="003259D9" w:rsidRPr="00665191" w:rsidRDefault="003259D9" w:rsidP="003259D9">
      <w:pPr>
        <w:spacing w:after="120"/>
        <w:rPr>
          <w:rFonts w:eastAsia="Calibri"/>
          <w:sz w:val="22"/>
          <w:szCs w:val="22"/>
        </w:rPr>
      </w:pPr>
      <w:r w:rsidRPr="00665191">
        <w:rPr>
          <w:rFonts w:eastAsia="Calibri"/>
          <w:sz w:val="22"/>
          <w:szCs w:val="22"/>
        </w:rPr>
        <w:t>Slightly lower results for Charities Services reflect the regulatory nature of the business.</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noProof/>
          <w:sz w:val="22"/>
          <w:szCs w:val="22"/>
          <w:lang w:eastAsia="en-NZ"/>
        </w:rPr>
        <w:drawing>
          <wp:inline distT="0" distB="0" distL="0" distR="0" wp14:anchorId="6BCF9D7D" wp14:editId="16D9B794">
            <wp:extent cx="5305710" cy="250380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3596" cy="2526402"/>
                    </a:xfrm>
                    <a:prstGeom prst="rect">
                      <a:avLst/>
                    </a:prstGeom>
                    <a:noFill/>
                  </pic:spPr>
                </pic:pic>
              </a:graphicData>
            </a:graphic>
          </wp:inline>
        </w:drawing>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 Customer Experience Survey 2015/16</w:t>
      </w:r>
    </w:p>
    <w:p w:rsidR="003259D9" w:rsidRPr="00665191" w:rsidRDefault="003259D9" w:rsidP="003259D9">
      <w:pPr>
        <w:spacing w:before="0" w:after="0" w:line="280" w:lineRule="atLeast"/>
        <w:rPr>
          <w:rFonts w:eastAsia="Times New Roman"/>
          <w:b/>
          <w:bCs/>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Ease of getting service</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Overall 80 per cent of </w:t>
      </w:r>
      <w:proofErr w:type="spellStart"/>
      <w:r w:rsidRPr="00665191">
        <w:rPr>
          <w:rFonts w:eastAsia="Times New Roman" w:cs="Arial"/>
          <w:sz w:val="22"/>
          <w:szCs w:val="22"/>
        </w:rPr>
        <w:t>SDO</w:t>
      </w:r>
      <w:proofErr w:type="spellEnd"/>
      <w:r w:rsidRPr="00665191">
        <w:rPr>
          <w:rFonts w:eastAsia="Times New Roman" w:cs="Arial"/>
          <w:sz w:val="22"/>
          <w:szCs w:val="22"/>
        </w:rPr>
        <w:t xml:space="preserve"> customers reported that it was easy to get their service with Service Delivery and Operations. </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451C78">
        <w:rPr>
          <w:rFonts w:eastAsia="Times New Roman" w:cs="Arial"/>
          <w:sz w:val="22"/>
          <w:szCs w:val="22"/>
        </w:rPr>
        <w:t xml:space="preserve">International research shows that ease of getting service is a key driver of the customer experience. Assessing how easy we make it for our customers is crucial to assessing how we are performing, and for determining actionable next steps to improve the customer experience. </w:t>
      </w:r>
      <w:r w:rsidRPr="00665191">
        <w:rPr>
          <w:rFonts w:eastAsia="Times New Roman" w:cs="Arial"/>
          <w:sz w:val="22"/>
          <w:szCs w:val="22"/>
          <w:vertAlign w:val="superscript"/>
        </w:rPr>
        <w:footnoteReference w:id="4"/>
      </w:r>
      <w:r w:rsidRPr="00665191">
        <w:rPr>
          <w:rFonts w:eastAsia="Times New Roman" w:cs="Arial"/>
          <w:sz w:val="22"/>
          <w:szCs w:val="22"/>
        </w:rPr>
        <w:t xml:space="preserve"> </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b/>
          <w:bCs/>
          <w:iCs/>
          <w:color w:val="4F81BD"/>
        </w:rPr>
      </w:pPr>
      <w:r>
        <w:rPr>
          <w:noProof/>
          <w:lang w:eastAsia="en-NZ"/>
        </w:rPr>
        <w:drawing>
          <wp:inline distT="0" distB="0" distL="0" distR="0" wp14:anchorId="39646349" wp14:editId="5B41BC0A">
            <wp:extent cx="5393317" cy="2650118"/>
            <wp:effectExtent l="0" t="0" r="17145" b="171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 Customer Experience Survey 2014/15</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lastRenderedPageBreak/>
        <w:t>The Community Operations result is slightly lower than 2014/15 again likely reflecting the initial implementation on the new grant management system</w:t>
      </w:r>
      <w:r w:rsidRPr="00665191">
        <w:rPr>
          <w:rFonts w:eastAsia="Times New Roman" w:cs="Arial"/>
          <w:szCs w:val="22"/>
          <w:vertAlign w:val="superscript"/>
        </w:rPr>
        <w:footnoteReference w:id="5"/>
      </w:r>
      <w:r w:rsidRPr="00665191">
        <w:rPr>
          <w:rFonts w:eastAsia="Times New Roman" w:cs="Arial"/>
          <w:sz w:val="22"/>
          <w:szCs w:val="22"/>
        </w:rPr>
        <w:t xml:space="preserve">. </w:t>
      </w:r>
    </w:p>
    <w:p w:rsidR="003259D9" w:rsidRPr="00665191" w:rsidRDefault="003259D9" w:rsidP="003259D9">
      <w:pPr>
        <w:spacing w:before="0" w:after="0" w:line="280" w:lineRule="atLeast"/>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Service Improvements</w:t>
      </w:r>
    </w:p>
    <w:p w:rsidR="003259D9" w:rsidRPr="00665191" w:rsidRDefault="003259D9" w:rsidP="003259D9">
      <w:pPr>
        <w:spacing w:before="0" w:after="0" w:line="280" w:lineRule="atLeast"/>
        <w:rPr>
          <w:rFonts w:eastAsia="Times New Roman" w:cs="Arial"/>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Half of </w:t>
      </w:r>
      <w:proofErr w:type="spellStart"/>
      <w:r w:rsidRPr="00665191">
        <w:rPr>
          <w:rFonts w:eastAsia="Times New Roman" w:cs="Arial"/>
          <w:sz w:val="22"/>
          <w:szCs w:val="22"/>
        </w:rPr>
        <w:t>SDO</w:t>
      </w:r>
      <w:proofErr w:type="spellEnd"/>
      <w:r w:rsidRPr="00665191">
        <w:rPr>
          <w:rFonts w:eastAsia="Times New Roman" w:cs="Arial"/>
          <w:sz w:val="22"/>
          <w:szCs w:val="22"/>
        </w:rPr>
        <w:t xml:space="preserve"> customers felt that </w:t>
      </w:r>
      <w:proofErr w:type="spellStart"/>
      <w:r w:rsidRPr="00665191">
        <w:rPr>
          <w:rFonts w:eastAsia="Times New Roman" w:cs="Arial"/>
          <w:sz w:val="22"/>
          <w:szCs w:val="22"/>
        </w:rPr>
        <w:t>SDO</w:t>
      </w:r>
      <w:proofErr w:type="spellEnd"/>
      <w:r w:rsidRPr="00665191">
        <w:rPr>
          <w:rFonts w:eastAsia="Times New Roman" w:cs="Arial"/>
          <w:sz w:val="22"/>
          <w:szCs w:val="22"/>
        </w:rPr>
        <w:t xml:space="preserve"> could make improvements to our service. Among those who made suggestions, the biggest group was once again those who suggested improving our website and online service.</w:t>
      </w:r>
      <w:bookmarkStart w:id="0" w:name="_GoBack"/>
      <w:bookmarkEnd w:id="0"/>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noProof/>
          <w:sz w:val="22"/>
          <w:szCs w:val="22"/>
          <w:lang w:eastAsia="en-NZ"/>
        </w:rPr>
        <w:drawing>
          <wp:inline distT="0" distB="0" distL="0" distR="0" wp14:anchorId="03D7A148" wp14:editId="0252EBE0">
            <wp:extent cx="5696793" cy="2945625"/>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174" cy="2955129"/>
                    </a:xfrm>
                    <a:prstGeom prst="rect">
                      <a:avLst/>
                    </a:prstGeom>
                    <a:noFill/>
                  </pic:spPr>
                </pic:pic>
              </a:graphicData>
            </a:graphic>
          </wp:inline>
        </w:drawing>
      </w:r>
    </w:p>
    <w:p w:rsidR="003259D9" w:rsidRPr="00665191" w:rsidRDefault="003259D9" w:rsidP="003259D9">
      <w:pPr>
        <w:spacing w:before="0" w:after="0" w:line="280" w:lineRule="atLeast"/>
        <w:rPr>
          <w:rFonts w:eastAsia="Times New Roman" w:cs="Arial"/>
          <w:sz w:val="18"/>
          <w:szCs w:val="18"/>
        </w:rPr>
      </w:pPr>
      <w:r w:rsidRPr="00665191">
        <w:rPr>
          <w:rFonts w:eastAsia="Times New Roman" w:cs="Arial"/>
          <w:sz w:val="18"/>
          <w:szCs w:val="18"/>
        </w:rPr>
        <w:t>Source: Service Delivery and Operations Customer Experience Survey 2015/16</w:t>
      </w:r>
    </w:p>
    <w:p w:rsidR="003259D9" w:rsidRPr="00665191" w:rsidRDefault="003259D9" w:rsidP="003259D9">
      <w:pPr>
        <w:spacing w:before="0" w:after="0" w:line="280" w:lineRule="atLeast"/>
        <w:rPr>
          <w:rFonts w:eastAsia="Times New Roman" w:cs="Arial"/>
        </w:rPr>
      </w:pPr>
    </w:p>
    <w:p w:rsidR="003259D9" w:rsidRPr="00665191" w:rsidRDefault="003259D9" w:rsidP="003259D9">
      <w:pPr>
        <w:spacing w:before="0" w:after="0" w:line="280" w:lineRule="atLeast"/>
        <w:ind w:left="-567" w:firstLine="426"/>
        <w:rPr>
          <w:rFonts w:eastAsia="Times New Roman" w:cs="Arial"/>
          <w:sz w:val="22"/>
          <w:szCs w:val="22"/>
        </w:rPr>
      </w:pPr>
      <w:r w:rsidRPr="00665191">
        <w:rPr>
          <w:rFonts w:eastAsia="Times New Roman" w:cs="Arial"/>
          <w:sz w:val="22"/>
          <w:szCs w:val="22"/>
        </w:rPr>
        <w:t>Examples of the types of comments received from customers regarding improvement are:</w:t>
      </w:r>
    </w:p>
    <w:p w:rsidR="003259D9" w:rsidRPr="00665191" w:rsidRDefault="003259D9" w:rsidP="003259D9">
      <w:pPr>
        <w:keepLines/>
        <w:spacing w:before="0" w:after="0"/>
        <w:rPr>
          <w:rFonts w:eastAsia="Calibri"/>
          <w:i/>
          <w:sz w:val="22"/>
          <w:szCs w:val="22"/>
        </w:rPr>
      </w:pPr>
    </w:p>
    <w:p w:rsidR="003259D9" w:rsidRPr="00665191" w:rsidRDefault="003259D9" w:rsidP="003259D9">
      <w:pPr>
        <w:keepLines/>
        <w:spacing w:before="0" w:after="0"/>
        <w:rPr>
          <w:rFonts w:eastAsia="Calibri"/>
          <w:i/>
          <w:sz w:val="22"/>
          <w:szCs w:val="22"/>
          <w:lang w:val="en-US"/>
        </w:rPr>
      </w:pPr>
      <w:r w:rsidRPr="00665191">
        <w:rPr>
          <w:rFonts w:eastAsia="Calibri"/>
          <w:i/>
          <w:sz w:val="22"/>
          <w:szCs w:val="22"/>
          <w:lang w:val="en-US"/>
        </w:rPr>
        <w:t>Clarify the process to be taken – it wasn’t clear in some cases what form to use</w:t>
      </w:r>
    </w:p>
    <w:p w:rsidR="003259D9" w:rsidRPr="00665191" w:rsidRDefault="003259D9" w:rsidP="003259D9">
      <w:pPr>
        <w:keepLines/>
        <w:spacing w:before="0" w:after="0"/>
        <w:rPr>
          <w:rFonts w:eastAsia="Calibri"/>
          <w:i/>
          <w:sz w:val="22"/>
          <w:szCs w:val="22"/>
        </w:rPr>
      </w:pPr>
    </w:p>
    <w:p w:rsidR="003259D9" w:rsidRPr="00665191" w:rsidRDefault="003259D9" w:rsidP="003259D9">
      <w:pPr>
        <w:keepLines/>
        <w:spacing w:before="0" w:after="0"/>
        <w:rPr>
          <w:rFonts w:eastAsia="Calibri"/>
          <w:i/>
          <w:sz w:val="22"/>
          <w:szCs w:val="22"/>
          <w:lang w:val="en-US"/>
        </w:rPr>
      </w:pPr>
      <w:r w:rsidRPr="00665191">
        <w:rPr>
          <w:rFonts w:eastAsia="Calibri"/>
          <w:i/>
          <w:sz w:val="22"/>
          <w:szCs w:val="22"/>
          <w:lang w:val="en-US"/>
        </w:rPr>
        <w:t>Have a simple printable booklet with a set of clear guidelines. Have a template that could be downloaded, completed and then uploaded once again once completed</w:t>
      </w:r>
    </w:p>
    <w:p w:rsidR="003259D9" w:rsidRPr="00665191" w:rsidRDefault="003259D9" w:rsidP="003259D9">
      <w:pPr>
        <w:keepLines/>
        <w:spacing w:before="0" w:after="0"/>
        <w:rPr>
          <w:rFonts w:eastAsia="Calibri"/>
          <w:i/>
          <w:sz w:val="22"/>
          <w:szCs w:val="22"/>
        </w:rPr>
      </w:pPr>
    </w:p>
    <w:p w:rsidR="003259D9" w:rsidRPr="00665191" w:rsidRDefault="003259D9" w:rsidP="003259D9">
      <w:pPr>
        <w:keepLines/>
        <w:spacing w:before="0" w:after="0"/>
        <w:rPr>
          <w:i/>
          <w:sz w:val="22"/>
          <w:szCs w:val="22"/>
        </w:rPr>
      </w:pPr>
      <w:r w:rsidRPr="00665191">
        <w:rPr>
          <w:i/>
          <w:sz w:val="22"/>
          <w:szCs w:val="22"/>
        </w:rPr>
        <w:t>Make sure users can reach a person via phone/helpline, when they are having problems with the online system</w:t>
      </w:r>
    </w:p>
    <w:p w:rsidR="003259D9" w:rsidRPr="00665191" w:rsidRDefault="003259D9" w:rsidP="003259D9">
      <w:pPr>
        <w:keepLines/>
        <w:spacing w:before="0" w:after="0"/>
        <w:rPr>
          <w:i/>
          <w:sz w:val="22"/>
          <w:szCs w:val="22"/>
        </w:rPr>
      </w:pPr>
    </w:p>
    <w:p w:rsidR="003259D9" w:rsidRPr="00665191" w:rsidRDefault="003259D9" w:rsidP="003259D9">
      <w:pPr>
        <w:keepLines/>
        <w:spacing w:before="0" w:after="0"/>
        <w:rPr>
          <w:rFonts w:eastAsia="Calibri"/>
          <w:i/>
          <w:sz w:val="22"/>
          <w:szCs w:val="22"/>
          <w:lang w:val="en-US"/>
        </w:rPr>
      </w:pPr>
      <w:r w:rsidRPr="00665191">
        <w:rPr>
          <w:rFonts w:eastAsia="Calibri"/>
          <w:i/>
          <w:sz w:val="22"/>
          <w:szCs w:val="22"/>
          <w:lang w:val="en-US"/>
        </w:rPr>
        <w:t>Focus on online applications where everything can be done online</w:t>
      </w:r>
    </w:p>
    <w:p w:rsidR="003259D9" w:rsidRPr="00665191" w:rsidRDefault="003259D9" w:rsidP="003259D9">
      <w:pPr>
        <w:keepLines/>
        <w:spacing w:before="0" w:after="0"/>
        <w:rPr>
          <w:rFonts w:eastAsia="Calibri"/>
          <w:i/>
          <w:sz w:val="22"/>
          <w:szCs w:val="22"/>
          <w:lang w:val="en-US"/>
        </w:rPr>
      </w:pPr>
    </w:p>
    <w:p w:rsidR="003259D9" w:rsidRPr="00665191" w:rsidRDefault="003259D9" w:rsidP="003259D9">
      <w:pPr>
        <w:keepLines/>
        <w:spacing w:before="0" w:after="0"/>
        <w:rPr>
          <w:rFonts w:eastAsia="Calibri"/>
          <w:i/>
          <w:sz w:val="22"/>
          <w:szCs w:val="22"/>
          <w:lang w:val="en-US"/>
        </w:rPr>
      </w:pPr>
      <w:r w:rsidRPr="00665191">
        <w:rPr>
          <w:rFonts w:eastAsia="Calibri"/>
          <w:i/>
          <w:sz w:val="22"/>
          <w:szCs w:val="22"/>
          <w:lang w:val="en-US"/>
        </w:rPr>
        <w:t>I think as we applied for passports it would have been great to tick a box on the citizenship form and get passports at the same time. Basically we were filling in a similar form and had to get a new photo for the passport so it was a bit of an inconvenience</w:t>
      </w:r>
    </w:p>
    <w:p w:rsidR="003259D9" w:rsidRPr="00665191" w:rsidRDefault="003259D9" w:rsidP="003259D9">
      <w:pPr>
        <w:keepLines/>
        <w:spacing w:before="0" w:after="0"/>
        <w:rPr>
          <w:rFonts w:eastAsia="Calibri"/>
          <w:i/>
          <w:sz w:val="22"/>
          <w:szCs w:val="22"/>
          <w:lang w:val="en-US"/>
        </w:rPr>
      </w:pPr>
    </w:p>
    <w:p w:rsidR="003259D9" w:rsidRPr="00665191" w:rsidRDefault="003259D9" w:rsidP="003259D9">
      <w:pPr>
        <w:keepLines/>
        <w:spacing w:before="0" w:after="0"/>
        <w:rPr>
          <w:rFonts w:eastAsia="Calibri"/>
          <w:i/>
          <w:sz w:val="22"/>
          <w:szCs w:val="22"/>
          <w:lang w:val="en-US"/>
        </w:rPr>
      </w:pPr>
      <w:r w:rsidRPr="00665191">
        <w:rPr>
          <w:rFonts w:eastAsia="Calibri"/>
          <w:i/>
          <w:sz w:val="22"/>
          <w:szCs w:val="22"/>
          <w:lang w:val="en-US"/>
        </w:rPr>
        <w:t>Provide an online facility to track the progress of applications</w:t>
      </w:r>
    </w:p>
    <w:p w:rsidR="003259D9" w:rsidRPr="00665191" w:rsidRDefault="003259D9" w:rsidP="003259D9">
      <w:pPr>
        <w:keepLines/>
        <w:spacing w:before="0" w:after="0"/>
        <w:rPr>
          <w:rFonts w:eastAsia="Calibri"/>
          <w:i/>
          <w:sz w:val="22"/>
          <w:szCs w:val="22"/>
          <w:lang w:val="en-US"/>
        </w:rPr>
      </w:pPr>
    </w:p>
    <w:p w:rsidR="003259D9" w:rsidRPr="00665191" w:rsidRDefault="003259D9" w:rsidP="003259D9">
      <w:pPr>
        <w:keepLines/>
        <w:spacing w:before="0" w:after="0"/>
        <w:rPr>
          <w:rFonts w:eastAsia="Calibri"/>
          <w:i/>
          <w:sz w:val="22"/>
          <w:szCs w:val="22"/>
          <w:lang w:val="en-US"/>
        </w:rPr>
      </w:pPr>
      <w:r w:rsidRPr="00665191">
        <w:rPr>
          <w:rFonts w:eastAsia="Calibri"/>
          <w:i/>
          <w:sz w:val="22"/>
          <w:szCs w:val="22"/>
          <w:lang w:val="en-US"/>
        </w:rPr>
        <w:t>Look at the process of the website from an applicant's point of view. Staff were great but even IT skilled people couldn't understand the process</w:t>
      </w:r>
    </w:p>
    <w:p w:rsidR="003259D9" w:rsidRPr="00665191" w:rsidRDefault="003259D9" w:rsidP="003259D9">
      <w:pPr>
        <w:keepLines/>
        <w:spacing w:before="0" w:after="0"/>
        <w:rPr>
          <w:rFonts w:eastAsia="Calibri"/>
          <w:i/>
          <w:sz w:val="22"/>
          <w:szCs w:val="22"/>
          <w:lang w:val="en-US"/>
        </w:rPr>
      </w:pPr>
    </w:p>
    <w:p w:rsidR="003259D9" w:rsidRPr="00665191" w:rsidRDefault="003259D9" w:rsidP="003259D9">
      <w:pPr>
        <w:keepLines/>
        <w:spacing w:before="0" w:after="0"/>
        <w:rPr>
          <w:rFonts w:eastAsia="Calibri"/>
          <w:i/>
          <w:sz w:val="22"/>
          <w:szCs w:val="22"/>
          <w:lang w:val="en-US"/>
        </w:rPr>
      </w:pPr>
      <w:r w:rsidRPr="00665191">
        <w:rPr>
          <w:rFonts w:eastAsia="Calibri"/>
          <w:i/>
          <w:sz w:val="22"/>
          <w:szCs w:val="22"/>
          <w:lang w:val="en-US"/>
        </w:rPr>
        <w:t>Improve the search function and make more information visible in the results</w:t>
      </w:r>
    </w:p>
    <w:p w:rsidR="003259D9" w:rsidRDefault="003259D9" w:rsidP="003259D9">
      <w:pPr>
        <w:spacing w:before="0" w:after="0" w:line="280" w:lineRule="atLeast"/>
        <w:rPr>
          <w:rFonts w:eastAsia="Times New Roman"/>
          <w:b/>
          <w:bCs/>
          <w:i/>
          <w:iCs/>
          <w:color w:val="4F81BD"/>
        </w:rPr>
      </w:pPr>
    </w:p>
    <w:p w:rsidR="003259D9" w:rsidRDefault="003259D9" w:rsidP="003259D9">
      <w:pPr>
        <w:spacing w:before="0" w:after="0" w:line="280" w:lineRule="atLeast"/>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Next Steps</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proofErr w:type="spellStart"/>
      <w:r w:rsidRPr="00665191">
        <w:rPr>
          <w:rFonts w:eastAsia="Times New Roman" w:cs="Arial"/>
          <w:sz w:val="22"/>
          <w:szCs w:val="22"/>
        </w:rPr>
        <w:t>SDO</w:t>
      </w:r>
      <w:proofErr w:type="spellEnd"/>
      <w:r w:rsidRPr="00665191">
        <w:rPr>
          <w:rFonts w:eastAsia="Times New Roman" w:cs="Arial"/>
          <w:sz w:val="22"/>
          <w:szCs w:val="22"/>
        </w:rPr>
        <w:t xml:space="preserve"> is working to transform our system of service delivery. Findings from this research will help us understand our customers’ needs and enable us to see the effect of service changes on our customers. At the same time a programme of continuous improvement is being undertaken based on customer and staff experience.</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Improving our web and digital services is a strong focus for </w:t>
      </w:r>
      <w:proofErr w:type="spellStart"/>
      <w:r w:rsidRPr="00665191">
        <w:rPr>
          <w:rFonts w:eastAsia="Times New Roman" w:cs="Arial"/>
          <w:sz w:val="22"/>
          <w:szCs w:val="22"/>
        </w:rPr>
        <w:t>SDO</w:t>
      </w:r>
      <w:proofErr w:type="spellEnd"/>
      <w:r w:rsidRPr="00665191">
        <w:rPr>
          <w:rFonts w:eastAsia="Times New Roman" w:cs="Arial"/>
          <w:sz w:val="22"/>
          <w:szCs w:val="22"/>
        </w:rPr>
        <w:t>. Analysis from the survey, particularly of customer comments, will help direct this.</w:t>
      </w:r>
    </w:p>
    <w:p w:rsidR="003259D9" w:rsidRPr="00665191" w:rsidRDefault="003259D9"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cs="Arial"/>
          <w:sz w:val="22"/>
          <w:szCs w:val="22"/>
        </w:rPr>
      </w:pPr>
      <w:r w:rsidRPr="00665191">
        <w:rPr>
          <w:rFonts w:eastAsia="Times New Roman" w:cs="Arial"/>
          <w:sz w:val="22"/>
          <w:szCs w:val="22"/>
        </w:rPr>
        <w:t xml:space="preserve">The </w:t>
      </w:r>
      <w:proofErr w:type="spellStart"/>
      <w:r w:rsidRPr="00665191">
        <w:rPr>
          <w:rFonts w:eastAsia="Times New Roman" w:cs="Arial"/>
          <w:sz w:val="22"/>
          <w:szCs w:val="22"/>
        </w:rPr>
        <w:t>SDO</w:t>
      </w:r>
      <w:proofErr w:type="spellEnd"/>
      <w:r w:rsidRPr="00665191">
        <w:rPr>
          <w:rFonts w:eastAsia="Times New Roman" w:cs="Arial"/>
          <w:sz w:val="22"/>
          <w:szCs w:val="22"/>
        </w:rPr>
        <w:t xml:space="preserve"> Customer Experience Survey is being run again in 2016/17 with results expected to be published late January 2018.</w:t>
      </w:r>
    </w:p>
    <w:p w:rsidR="003259D9" w:rsidRPr="00665191" w:rsidRDefault="003259D9" w:rsidP="003259D9">
      <w:pPr>
        <w:spacing w:before="0" w:after="0" w:line="280" w:lineRule="atLeast"/>
        <w:rPr>
          <w:rFonts w:eastAsia="Times New Roman" w:cs="Arial"/>
        </w:rPr>
      </w:pPr>
    </w:p>
    <w:p w:rsidR="003259D9" w:rsidRPr="00665191" w:rsidRDefault="003259D9" w:rsidP="003259D9">
      <w:pPr>
        <w:spacing w:before="0" w:after="0" w:line="280" w:lineRule="atLeast"/>
        <w:rPr>
          <w:rFonts w:eastAsia="Times New Roman"/>
          <w:b/>
          <w:bCs/>
          <w:iCs/>
          <w:color w:val="4F81BD"/>
        </w:rPr>
      </w:pPr>
    </w:p>
    <w:p w:rsidR="003259D9" w:rsidRPr="00665191" w:rsidRDefault="003259D9" w:rsidP="003259D9">
      <w:pPr>
        <w:spacing w:before="0" w:after="0" w:line="280" w:lineRule="atLeast"/>
        <w:rPr>
          <w:rFonts w:eastAsia="Times New Roman"/>
          <w:b/>
          <w:bCs/>
          <w:i/>
          <w:iCs/>
          <w:color w:val="4F81BD"/>
        </w:rPr>
      </w:pPr>
      <w:r w:rsidRPr="00665191">
        <w:rPr>
          <w:rFonts w:eastAsia="Times New Roman"/>
          <w:b/>
          <w:bCs/>
          <w:i/>
          <w:iCs/>
          <w:color w:val="4F81BD"/>
        </w:rPr>
        <w:t>Methodology</w:t>
      </w:r>
    </w:p>
    <w:p w:rsidR="003259D9" w:rsidRPr="00665191" w:rsidRDefault="003259D9" w:rsidP="003259D9">
      <w:pPr>
        <w:spacing w:before="0" w:after="0" w:line="280" w:lineRule="atLeast"/>
        <w:rPr>
          <w:rFonts w:eastAsia="Times New Roman"/>
          <w:b/>
          <w:bCs/>
          <w:iCs/>
          <w:color w:val="4F81BD"/>
        </w:rPr>
      </w:pPr>
    </w:p>
    <w:p w:rsidR="003259D9" w:rsidRPr="00665191" w:rsidRDefault="003259D9" w:rsidP="003259D9">
      <w:pPr>
        <w:spacing w:before="0" w:after="0" w:line="280" w:lineRule="atLeast"/>
        <w:rPr>
          <w:rFonts w:eastAsia="Times New Roman" w:cs="Arial"/>
          <w:b/>
        </w:rPr>
      </w:pPr>
      <w:r w:rsidRPr="00665191">
        <w:rPr>
          <w:rFonts w:eastAsia="Times New Roman" w:cs="Arial"/>
          <w:sz w:val="22"/>
          <w:szCs w:val="22"/>
        </w:rPr>
        <w:t>The 2015/16 survey was run continuously during 2015/16. Recent customers were asked to participate via a telephone or online survey.  2,700 customers completed the survey. The margin of error is between +/-3.8% and +/-4.8% for each business group.</w:t>
      </w:r>
    </w:p>
    <w:p w:rsidR="003259D9" w:rsidRPr="00665191" w:rsidRDefault="003259D9" w:rsidP="003259D9">
      <w:pPr>
        <w:rPr>
          <w:b/>
        </w:rPr>
      </w:pPr>
    </w:p>
    <w:p w:rsidR="003259D9" w:rsidRPr="00665191" w:rsidRDefault="003259D9" w:rsidP="003259D9"/>
    <w:p w:rsidR="003259D9" w:rsidRPr="00665191" w:rsidRDefault="003259D9" w:rsidP="003259D9"/>
    <w:p w:rsidR="003259D9" w:rsidRDefault="003259D9" w:rsidP="003259D9">
      <w:pPr>
        <w:rPr>
          <w:b/>
        </w:rPr>
      </w:pPr>
    </w:p>
    <w:p w:rsidR="004737E1" w:rsidRDefault="004737E1" w:rsidP="003259D9">
      <w:pPr>
        <w:rPr>
          <w:b/>
        </w:rPr>
      </w:pPr>
    </w:p>
    <w:sectPr w:rsidR="004737E1" w:rsidSect="003259D9">
      <w:headerReference w:type="default" r:id="rId15"/>
      <w:footerReference w:type="default" r:id="rId16"/>
      <w:headerReference w:type="first" r:id="rId17"/>
      <w:footerReference w:type="first" r:id="rId18"/>
      <w:footnotePr>
        <w:numRestart w:val="eachSect"/>
      </w:footnotePr>
      <w:pgSz w:w="11907" w:h="16840" w:code="9"/>
      <w:pgMar w:top="1077"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70" w:rsidRDefault="006C1970">
      <w:r>
        <w:separator/>
      </w:r>
    </w:p>
    <w:p w:rsidR="006C1970" w:rsidRDefault="006C1970"/>
    <w:p w:rsidR="006C1970" w:rsidRDefault="006C1970"/>
  </w:endnote>
  <w:endnote w:type="continuationSeparator" w:id="0">
    <w:p w:rsidR="006C1970" w:rsidRDefault="006C1970">
      <w:r>
        <w:continuationSeparator/>
      </w:r>
    </w:p>
    <w:p w:rsidR="006C1970" w:rsidRDefault="006C1970"/>
    <w:p w:rsidR="006C1970" w:rsidRDefault="006C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Default="00E03A98" w:rsidP="002916D9">
    <w:pPr>
      <w:pStyle w:val="Footer"/>
      <w:tabs>
        <w:tab w:val="center" w:pos="4536"/>
        <w:tab w:val="right" w:pos="9071"/>
      </w:tabs>
      <w:ind w:right="-1"/>
    </w:pPr>
    <w:r>
      <w:tab/>
    </w:r>
    <w:r w:rsidR="001E2825">
      <w:rPr>
        <w:rStyle w:val="Footersecurityclassification"/>
      </w:rPr>
      <w:t>in-confidence</w:t>
    </w:r>
    <w:r>
      <w:tab/>
      <w:t xml:space="preserve">Page </w:t>
    </w:r>
    <w:r>
      <w:fldChar w:fldCharType="begin"/>
    </w:r>
    <w:r>
      <w:instrText xml:space="preserve"> PAGE  \* Arabic  \* MERGEFORMAT </w:instrText>
    </w:r>
    <w:r>
      <w:fldChar w:fldCharType="separate"/>
    </w:r>
    <w:r w:rsidR="000C230C">
      <w:rPr>
        <w:noProof/>
      </w:rPr>
      <w:t>8</w:t>
    </w:r>
    <w:r>
      <w:fldChar w:fldCharType="end"/>
    </w:r>
    <w:r>
      <w:t xml:space="preserve"> of </w:t>
    </w:r>
    <w:fldSimple w:instr=" NUMPAGES   \* MERGEFORMAT ">
      <w:r w:rsidR="000C230C">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Pr="00C8703D" w:rsidRDefault="00E03A98" w:rsidP="00C14892">
    <w:pPr>
      <w:pStyle w:val="Footer"/>
      <w:tabs>
        <w:tab w:val="center" w:pos="4536"/>
        <w:tab w:val="right" w:pos="9071"/>
      </w:tabs>
      <w:ind w:right="-1"/>
    </w:pPr>
    <w:r>
      <w:tab/>
    </w:r>
    <w:r w:rsidR="001E2825">
      <w:rPr>
        <w:rStyle w:val="Footersecurityclassification"/>
      </w:rPr>
      <w:t>in-confidence</w:t>
    </w:r>
    <w:r>
      <w:tab/>
      <w:t xml:space="preserve">Page </w:t>
    </w:r>
    <w:r>
      <w:fldChar w:fldCharType="begin"/>
    </w:r>
    <w:r>
      <w:instrText xml:space="preserve"> PAGE  \* Arabic  \* MERGEFORMAT </w:instrText>
    </w:r>
    <w:r>
      <w:fldChar w:fldCharType="separate"/>
    </w:r>
    <w:r w:rsidR="000C230C">
      <w:rPr>
        <w:noProof/>
      </w:rPr>
      <w:t>1</w:t>
    </w:r>
    <w:r>
      <w:fldChar w:fldCharType="end"/>
    </w:r>
    <w:r>
      <w:t xml:space="preserve"> of </w:t>
    </w:r>
    <w:fldSimple w:instr=" NUMPAGES   \* MERGEFORMAT ">
      <w:r w:rsidR="000C230C">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70" w:rsidRDefault="006C1970" w:rsidP="00C70BCA">
      <w:pPr>
        <w:pStyle w:val="Spacer"/>
      </w:pPr>
      <w:r>
        <w:separator/>
      </w:r>
    </w:p>
  </w:footnote>
  <w:footnote w:type="continuationSeparator" w:id="0">
    <w:p w:rsidR="006C1970" w:rsidRDefault="006C1970">
      <w:r>
        <w:continuationSeparator/>
      </w:r>
    </w:p>
    <w:p w:rsidR="006C1970" w:rsidRDefault="006C1970"/>
    <w:p w:rsidR="006C1970" w:rsidRDefault="006C1970"/>
  </w:footnote>
  <w:footnote w:id="1">
    <w:p w:rsidR="003259D9" w:rsidRPr="00665191" w:rsidRDefault="003259D9" w:rsidP="003259D9">
      <w:pPr>
        <w:pStyle w:val="FootnoteText"/>
        <w:rPr>
          <w:sz w:val="16"/>
        </w:rPr>
      </w:pPr>
      <w:r w:rsidRPr="00665191">
        <w:rPr>
          <w:rStyle w:val="FootnoteReference"/>
          <w:sz w:val="22"/>
        </w:rPr>
        <w:footnoteRef/>
      </w:r>
      <w:r w:rsidRPr="00665191">
        <w:rPr>
          <w:sz w:val="18"/>
        </w:rPr>
        <w:t xml:space="preserve"> </w:t>
      </w:r>
      <w:r w:rsidRPr="00665191">
        <w:rPr>
          <w:sz w:val="16"/>
        </w:rPr>
        <w:t>Most changes between years are not statistically significant, therefore we cannot say for certain that there has been any change</w:t>
      </w:r>
    </w:p>
  </w:footnote>
  <w:footnote w:id="2">
    <w:p w:rsidR="003259D9" w:rsidRDefault="003259D9" w:rsidP="003259D9">
      <w:pPr>
        <w:pStyle w:val="FootnoteText"/>
      </w:pPr>
      <w:r w:rsidRPr="00665191">
        <w:rPr>
          <w:rStyle w:val="FootnoteReference"/>
          <w:sz w:val="20"/>
        </w:rPr>
        <w:footnoteRef/>
      </w:r>
      <w:r w:rsidRPr="00665191">
        <w:rPr>
          <w:sz w:val="16"/>
        </w:rPr>
        <w:t xml:space="preserve"> This is a statistically significant change</w:t>
      </w:r>
    </w:p>
  </w:footnote>
  <w:footnote w:id="3">
    <w:p w:rsidR="003259D9" w:rsidRPr="00665191" w:rsidRDefault="003259D9" w:rsidP="003259D9">
      <w:pPr>
        <w:pStyle w:val="FootnoteText"/>
        <w:rPr>
          <w:sz w:val="16"/>
        </w:rPr>
      </w:pPr>
      <w:r w:rsidRPr="00665191">
        <w:rPr>
          <w:rStyle w:val="FootnoteReference"/>
          <w:sz w:val="20"/>
        </w:rPr>
        <w:footnoteRef/>
      </w:r>
      <w:r w:rsidRPr="00665191">
        <w:rPr>
          <w:sz w:val="16"/>
        </w:rPr>
        <w:t xml:space="preserve"> All changes between years are not statistically </w:t>
      </w:r>
      <w:proofErr w:type="gramStart"/>
      <w:r w:rsidRPr="00665191">
        <w:rPr>
          <w:sz w:val="16"/>
        </w:rPr>
        <w:t>significant,</w:t>
      </w:r>
      <w:proofErr w:type="gramEnd"/>
      <w:r w:rsidRPr="00665191">
        <w:rPr>
          <w:sz w:val="16"/>
        </w:rPr>
        <w:t xml:space="preserve"> therefore we cannot say for certain that there has been any change.</w:t>
      </w:r>
    </w:p>
  </w:footnote>
  <w:footnote w:id="4">
    <w:p w:rsidR="003259D9" w:rsidRDefault="003259D9" w:rsidP="003259D9">
      <w:pPr>
        <w:pStyle w:val="FootnoteText"/>
      </w:pPr>
      <w:r w:rsidRPr="00665191">
        <w:rPr>
          <w:rStyle w:val="FootnoteReference"/>
          <w:sz w:val="20"/>
        </w:rPr>
        <w:footnoteRef/>
      </w:r>
      <w:r w:rsidRPr="00665191">
        <w:rPr>
          <w:sz w:val="16"/>
        </w:rPr>
        <w:t xml:space="preserve">   Source: </w:t>
      </w:r>
      <w:proofErr w:type="spellStart"/>
      <w:r w:rsidRPr="00665191">
        <w:rPr>
          <w:sz w:val="16"/>
        </w:rPr>
        <w:t>CEB</w:t>
      </w:r>
      <w:proofErr w:type="spellEnd"/>
      <w:r w:rsidRPr="00665191">
        <w:rPr>
          <w:sz w:val="16"/>
        </w:rPr>
        <w:t xml:space="preserve"> Customer Contact Council Member Survey 2010.</w:t>
      </w:r>
    </w:p>
  </w:footnote>
  <w:footnote w:id="5">
    <w:p w:rsidR="003259D9" w:rsidRDefault="003259D9" w:rsidP="003259D9">
      <w:pPr>
        <w:pStyle w:val="FootnoteText"/>
      </w:pPr>
      <w:r w:rsidRPr="00665191">
        <w:rPr>
          <w:rStyle w:val="FootnoteReference"/>
          <w:sz w:val="20"/>
        </w:rPr>
        <w:footnoteRef/>
      </w:r>
      <w:r w:rsidRPr="00665191">
        <w:rPr>
          <w:sz w:val="16"/>
        </w:rPr>
        <w:t xml:space="preserve"> We began asking customers about ease of doing business in early 2014. So 2015/16 is second full year for which we have results on ease of doing business.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Pr="00CD3498" w:rsidRDefault="00E03A98" w:rsidP="00C8703D">
    <w:pPr>
      <w:pStyle w:val="Header"/>
      <w:tabs>
        <w:tab w:val="right" w:pos="9072"/>
      </w:tabs>
    </w:pPr>
    <w:r w:rsidRPr="00CD3498">
      <w:tab/>
      <w:t>The Department of Internal Affairs</w:t>
    </w:r>
  </w:p>
  <w:p w:rsidR="00E03A98" w:rsidRDefault="00E03A98" w:rsidP="00460B3F">
    <w:pPr>
      <w:pStyle w:val="Header"/>
      <w:tabs>
        <w:tab w:val="right" w:pos="9072"/>
      </w:tabs>
    </w:pPr>
    <w:r w:rsidRPr="00CD3498">
      <w:tab/>
    </w:r>
    <w:proofErr w:type="spellStart"/>
    <w:r w:rsidRPr="00CD3498">
      <w:t>Te</w:t>
    </w:r>
    <w:proofErr w:type="spellEnd"/>
    <w:r w:rsidRPr="00CD3498">
      <w:t xml:space="preserve"> </w:t>
    </w:r>
    <w:proofErr w:type="spellStart"/>
    <w:r w:rsidRPr="00CD3498">
      <w:t>Tari</w:t>
    </w:r>
    <w:proofErr w:type="spellEnd"/>
    <w:r w:rsidRPr="00CD3498">
      <w:t xml:space="preserve"> </w:t>
    </w:r>
    <w:proofErr w:type="spellStart"/>
    <w:r w:rsidRPr="00CD3498">
      <w:t>Taiwhenua</w:t>
    </w:r>
    <w:proofErr w:type="spellEnd"/>
    <w:r w:rsidRPr="00CD349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98" w:rsidRDefault="00E03A98" w:rsidP="00406D44">
    <w:pPr>
      <w:pStyle w:val="Tinyline"/>
    </w:pPr>
    <w:r>
      <w:rPr>
        <w:noProof/>
        <w:lang w:eastAsia="en-NZ"/>
      </w:rPr>
      <w:drawing>
        <wp:anchor distT="0" distB="288290" distL="114300" distR="114300" simplePos="0" relativeHeight="251659264" behindDoc="1" locked="0" layoutInCell="1" allowOverlap="1" wp14:anchorId="2341F0C5" wp14:editId="33BE6991">
          <wp:simplePos x="0" y="0"/>
          <wp:positionH relativeFrom="page">
            <wp:posOffset>4464685</wp:posOffset>
          </wp:positionH>
          <wp:positionV relativeFrom="page">
            <wp:posOffset>485775</wp:posOffset>
          </wp:positionV>
          <wp:extent cx="2520000" cy="446400"/>
          <wp:effectExtent l="0" t="0" r="0" b="0"/>
          <wp:wrapTopAndBottom/>
          <wp:docPr id="28" name="Picture 28"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18940A63"/>
    <w:multiLevelType w:val="hybridMultilevel"/>
    <w:tmpl w:val="7220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68F5832"/>
    <w:multiLevelType w:val="multilevel"/>
    <w:tmpl w:val="D40EB578"/>
    <w:lvl w:ilvl="0">
      <w:start w:val="1"/>
      <w:numFmt w:val="upperLetter"/>
      <w:pStyle w:val="Headingappendix"/>
      <w:suff w:val="space"/>
      <w:lvlText w:val="Appendix %1:"/>
      <w:lvlJc w:val="left"/>
      <w:pPr>
        <w:ind w:left="0" w:firstLine="0"/>
      </w:pPr>
      <w:rPr>
        <w:rFonts w:ascii="Calibri" w:hAnsi="Calibri" w:hint="default"/>
        <w:b/>
        <w:i w:val="0"/>
        <w:caps w:val="0"/>
        <w:strike w:val="0"/>
        <w:dstrike w:val="0"/>
        <w:vanish w:val="0"/>
        <w:color w:val="000000" w:themeColor="text1"/>
        <w:sz w:val="26"/>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4941A94"/>
    <w:multiLevelType w:val="hybridMultilevel"/>
    <w:tmpl w:val="70D884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506446F"/>
    <w:multiLevelType w:val="hybridMultilevel"/>
    <w:tmpl w:val="A80084BA"/>
    <w:lvl w:ilvl="0" w:tplc="813A0CC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nsid w:val="6DAE04EA"/>
    <w:multiLevelType w:val="hybridMultilevel"/>
    <w:tmpl w:val="65165B2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nsid w:val="724F0CF4"/>
    <w:multiLevelType w:val="multilevel"/>
    <w:tmpl w:val="5B30CED2"/>
    <w:lvl w:ilvl="0">
      <w:start w:val="1"/>
      <w:numFmt w:val="lowerLetter"/>
      <w:lvlText w:val="%1)"/>
      <w:lvlJc w:val="left"/>
      <w:pPr>
        <w:ind w:left="1134" w:hanging="567"/>
      </w:pPr>
      <w:rPr>
        <w:rFonts w:hint="default"/>
        <w:b w:val="0"/>
        <w:i w:val="0"/>
      </w:rPr>
    </w:lvl>
    <w:lvl w:ilvl="1">
      <w:start w:val="1"/>
      <w:numFmt w:val="lowerRoman"/>
      <w:lvlText w:val="%2."/>
      <w:lvlJc w:val="left"/>
      <w:pPr>
        <w:ind w:left="1701" w:hanging="567"/>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2">
    <w:nsid w:val="7B985B67"/>
    <w:multiLevelType w:val="hybridMultilevel"/>
    <w:tmpl w:val="18E6B718"/>
    <w:lvl w:ilvl="0" w:tplc="8B1C3386">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2"/>
  </w:num>
  <w:num w:numId="11">
    <w:abstractNumId w:val="23"/>
  </w:num>
  <w:num w:numId="12">
    <w:abstractNumId w:val="17"/>
  </w:num>
  <w:num w:numId="13">
    <w:abstractNumId w:val="13"/>
  </w:num>
  <w:num w:numId="14">
    <w:abstractNumId w:val="24"/>
  </w:num>
  <w:num w:numId="15">
    <w:abstractNumId w:val="26"/>
  </w:num>
  <w:num w:numId="16">
    <w:abstractNumId w:val="29"/>
  </w:num>
  <w:num w:numId="17">
    <w:abstractNumId w:val="10"/>
  </w:num>
  <w:num w:numId="18">
    <w:abstractNumId w:val="15"/>
  </w:num>
  <w:num w:numId="19">
    <w:abstractNumId w:val="19"/>
  </w:num>
  <w:num w:numId="20">
    <w:abstractNumId w:val="31"/>
  </w:num>
  <w:num w:numId="21">
    <w:abstractNumId w:val="27"/>
  </w:num>
  <w:num w:numId="22">
    <w:abstractNumId w:val="25"/>
  </w:num>
  <w:num w:numId="23">
    <w:abstractNumId w:val="20"/>
  </w:num>
  <w:num w:numId="24">
    <w:abstractNumId w:val="16"/>
  </w:num>
  <w:num w:numId="25">
    <w:abstractNumId w:val="11"/>
  </w:num>
  <w:num w:numId="26">
    <w:abstractNumId w:val="9"/>
  </w:num>
  <w:num w:numId="27">
    <w:abstractNumId w:val="14"/>
  </w:num>
  <w:num w:numId="28">
    <w:abstractNumId w:val="21"/>
  </w:num>
  <w:num w:numId="29">
    <w:abstractNumId w:val="30"/>
  </w:num>
  <w:num w:numId="30">
    <w:abstractNumId w:val="18"/>
  </w:num>
  <w:num w:numId="31">
    <w:abstractNumId w:val="28"/>
  </w:num>
  <w:num w:numId="32">
    <w:abstractNumId w:val="12"/>
  </w:num>
  <w:num w:numId="3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characterSpacingControl w:val="doNotCompress"/>
  <w:hdrShapeDefaults>
    <o:shapedefaults v:ext="edit" spidmax="6145"/>
  </w:hdrShapeDefaults>
  <w:footnotePr>
    <w:numRestart w:val="eachSect"/>
    <w:footnote w:id="-1"/>
    <w:footnote w:id="0"/>
  </w:footnotePr>
  <w:endnotePr>
    <w:pos w:val="sectEnd"/>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D9"/>
    <w:rsid w:val="00003360"/>
    <w:rsid w:val="00005919"/>
    <w:rsid w:val="00006A2C"/>
    <w:rsid w:val="00015020"/>
    <w:rsid w:val="0001647B"/>
    <w:rsid w:val="00020010"/>
    <w:rsid w:val="00020FAF"/>
    <w:rsid w:val="00024BD8"/>
    <w:rsid w:val="00034673"/>
    <w:rsid w:val="00036671"/>
    <w:rsid w:val="00037226"/>
    <w:rsid w:val="000409E2"/>
    <w:rsid w:val="00044EA1"/>
    <w:rsid w:val="0004515A"/>
    <w:rsid w:val="0005649A"/>
    <w:rsid w:val="00063BB2"/>
    <w:rsid w:val="00065F18"/>
    <w:rsid w:val="00067005"/>
    <w:rsid w:val="00076035"/>
    <w:rsid w:val="00077013"/>
    <w:rsid w:val="00084413"/>
    <w:rsid w:val="00091C3A"/>
    <w:rsid w:val="000A6F27"/>
    <w:rsid w:val="000C1B18"/>
    <w:rsid w:val="000C230C"/>
    <w:rsid w:val="000D4DF0"/>
    <w:rsid w:val="000D606F"/>
    <w:rsid w:val="000D61F6"/>
    <w:rsid w:val="000E0646"/>
    <w:rsid w:val="000E3240"/>
    <w:rsid w:val="000E3EF6"/>
    <w:rsid w:val="000E677B"/>
    <w:rsid w:val="000F4ADF"/>
    <w:rsid w:val="000F5529"/>
    <w:rsid w:val="000F5D5E"/>
    <w:rsid w:val="000F61AF"/>
    <w:rsid w:val="0010171C"/>
    <w:rsid w:val="00102FAD"/>
    <w:rsid w:val="00121870"/>
    <w:rsid w:val="001367AD"/>
    <w:rsid w:val="00136A66"/>
    <w:rsid w:val="00136B1A"/>
    <w:rsid w:val="00140DAA"/>
    <w:rsid w:val="00140ED2"/>
    <w:rsid w:val="00143E7C"/>
    <w:rsid w:val="0016433D"/>
    <w:rsid w:val="00165861"/>
    <w:rsid w:val="00171F45"/>
    <w:rsid w:val="0017276A"/>
    <w:rsid w:val="00184C0F"/>
    <w:rsid w:val="001A5F55"/>
    <w:rsid w:val="001A6E22"/>
    <w:rsid w:val="001C0031"/>
    <w:rsid w:val="001C0C30"/>
    <w:rsid w:val="001C1382"/>
    <w:rsid w:val="001C2E1A"/>
    <w:rsid w:val="001C5850"/>
    <w:rsid w:val="001D0111"/>
    <w:rsid w:val="001E2825"/>
    <w:rsid w:val="001E64FC"/>
    <w:rsid w:val="002007DF"/>
    <w:rsid w:val="00203601"/>
    <w:rsid w:val="00205FE8"/>
    <w:rsid w:val="00206BA3"/>
    <w:rsid w:val="00207075"/>
    <w:rsid w:val="00213416"/>
    <w:rsid w:val="00214081"/>
    <w:rsid w:val="00215160"/>
    <w:rsid w:val="002224B4"/>
    <w:rsid w:val="00226D5E"/>
    <w:rsid w:val="002375F5"/>
    <w:rsid w:val="00237A3D"/>
    <w:rsid w:val="00240E83"/>
    <w:rsid w:val="002502D1"/>
    <w:rsid w:val="002568A9"/>
    <w:rsid w:val="00260A17"/>
    <w:rsid w:val="00270EEC"/>
    <w:rsid w:val="002774FE"/>
    <w:rsid w:val="002806A2"/>
    <w:rsid w:val="002852E3"/>
    <w:rsid w:val="002916D9"/>
    <w:rsid w:val="00296EA2"/>
    <w:rsid w:val="00297CC7"/>
    <w:rsid w:val="002A194F"/>
    <w:rsid w:val="002A4BD9"/>
    <w:rsid w:val="002A4FE7"/>
    <w:rsid w:val="002B1CEB"/>
    <w:rsid w:val="002D3125"/>
    <w:rsid w:val="002D4F42"/>
    <w:rsid w:val="002D61CC"/>
    <w:rsid w:val="002F4C1B"/>
    <w:rsid w:val="0030084C"/>
    <w:rsid w:val="003039E1"/>
    <w:rsid w:val="003129BA"/>
    <w:rsid w:val="003148FC"/>
    <w:rsid w:val="003259D9"/>
    <w:rsid w:val="0032623C"/>
    <w:rsid w:val="003279AF"/>
    <w:rsid w:val="00330820"/>
    <w:rsid w:val="003465C8"/>
    <w:rsid w:val="0037016B"/>
    <w:rsid w:val="00370FC0"/>
    <w:rsid w:val="00373206"/>
    <w:rsid w:val="003737ED"/>
    <w:rsid w:val="00375919"/>
    <w:rsid w:val="00375B80"/>
    <w:rsid w:val="00376851"/>
    <w:rsid w:val="00377352"/>
    <w:rsid w:val="003860E9"/>
    <w:rsid w:val="003A10DA"/>
    <w:rsid w:val="003A12C8"/>
    <w:rsid w:val="003A61FF"/>
    <w:rsid w:val="003A6FFE"/>
    <w:rsid w:val="003A7695"/>
    <w:rsid w:val="003B3A23"/>
    <w:rsid w:val="003B6592"/>
    <w:rsid w:val="003C772C"/>
    <w:rsid w:val="003F2B58"/>
    <w:rsid w:val="003F5886"/>
    <w:rsid w:val="0040020C"/>
    <w:rsid w:val="00401CA0"/>
    <w:rsid w:val="00406B66"/>
    <w:rsid w:val="00406D44"/>
    <w:rsid w:val="0040700B"/>
    <w:rsid w:val="00407F54"/>
    <w:rsid w:val="00411341"/>
    <w:rsid w:val="004129C6"/>
    <w:rsid w:val="00413966"/>
    <w:rsid w:val="00415CDB"/>
    <w:rsid w:val="004231DC"/>
    <w:rsid w:val="0042551E"/>
    <w:rsid w:val="00433AD8"/>
    <w:rsid w:val="00440043"/>
    <w:rsid w:val="00446CD6"/>
    <w:rsid w:val="00454769"/>
    <w:rsid w:val="004552A0"/>
    <w:rsid w:val="00457E34"/>
    <w:rsid w:val="00460A83"/>
    <w:rsid w:val="00460B3F"/>
    <w:rsid w:val="00464752"/>
    <w:rsid w:val="00472878"/>
    <w:rsid w:val="004737E1"/>
    <w:rsid w:val="00476068"/>
    <w:rsid w:val="004763B3"/>
    <w:rsid w:val="00477619"/>
    <w:rsid w:val="00486E6E"/>
    <w:rsid w:val="004875DF"/>
    <w:rsid w:val="00487C1D"/>
    <w:rsid w:val="004923B9"/>
    <w:rsid w:val="00493AD9"/>
    <w:rsid w:val="00494C6F"/>
    <w:rsid w:val="004A489B"/>
    <w:rsid w:val="004A5823"/>
    <w:rsid w:val="004A6DF8"/>
    <w:rsid w:val="004B0AAF"/>
    <w:rsid w:val="004B10B9"/>
    <w:rsid w:val="004B3924"/>
    <w:rsid w:val="004C4864"/>
    <w:rsid w:val="004C4DDD"/>
    <w:rsid w:val="004C6953"/>
    <w:rsid w:val="004C7001"/>
    <w:rsid w:val="004D1706"/>
    <w:rsid w:val="004D243F"/>
    <w:rsid w:val="004D7473"/>
    <w:rsid w:val="004E11CB"/>
    <w:rsid w:val="00501C4B"/>
    <w:rsid w:val="00510D73"/>
    <w:rsid w:val="00512ACB"/>
    <w:rsid w:val="0052216D"/>
    <w:rsid w:val="00524552"/>
    <w:rsid w:val="00526115"/>
    <w:rsid w:val="005312C2"/>
    <w:rsid w:val="00533FAF"/>
    <w:rsid w:val="00534B4D"/>
    <w:rsid w:val="005366B6"/>
    <w:rsid w:val="00537EA8"/>
    <w:rsid w:val="00554BCD"/>
    <w:rsid w:val="00561A97"/>
    <w:rsid w:val="00562289"/>
    <w:rsid w:val="00563DAC"/>
    <w:rsid w:val="005675E0"/>
    <w:rsid w:val="00570A71"/>
    <w:rsid w:val="00570C00"/>
    <w:rsid w:val="0058206B"/>
    <w:rsid w:val="00585690"/>
    <w:rsid w:val="00592E6E"/>
    <w:rsid w:val="00595B33"/>
    <w:rsid w:val="0059662F"/>
    <w:rsid w:val="00597B77"/>
    <w:rsid w:val="005B3D3D"/>
    <w:rsid w:val="005C0923"/>
    <w:rsid w:val="005C0A3A"/>
    <w:rsid w:val="005D3066"/>
    <w:rsid w:val="005E1D9D"/>
    <w:rsid w:val="005E3818"/>
    <w:rsid w:val="005E4B13"/>
    <w:rsid w:val="005E4C02"/>
    <w:rsid w:val="005F01DF"/>
    <w:rsid w:val="005F22E1"/>
    <w:rsid w:val="005F76CC"/>
    <w:rsid w:val="005F7FF8"/>
    <w:rsid w:val="006004C4"/>
    <w:rsid w:val="00600CA4"/>
    <w:rsid w:val="00602416"/>
    <w:rsid w:val="006025CE"/>
    <w:rsid w:val="006041F2"/>
    <w:rsid w:val="006064F5"/>
    <w:rsid w:val="0061541C"/>
    <w:rsid w:val="00617298"/>
    <w:rsid w:val="00624C89"/>
    <w:rsid w:val="00633C17"/>
    <w:rsid w:val="00637753"/>
    <w:rsid w:val="00640CFC"/>
    <w:rsid w:val="00650192"/>
    <w:rsid w:val="00662716"/>
    <w:rsid w:val="006639FB"/>
    <w:rsid w:val="00676C9F"/>
    <w:rsid w:val="00677B13"/>
    <w:rsid w:val="00677F4E"/>
    <w:rsid w:val="00681A08"/>
    <w:rsid w:val="00685ECF"/>
    <w:rsid w:val="006875B8"/>
    <w:rsid w:val="00687CEA"/>
    <w:rsid w:val="00694E01"/>
    <w:rsid w:val="00695171"/>
    <w:rsid w:val="00695B75"/>
    <w:rsid w:val="006A1A95"/>
    <w:rsid w:val="006A38B7"/>
    <w:rsid w:val="006A4D61"/>
    <w:rsid w:val="006A5C31"/>
    <w:rsid w:val="006B1CB2"/>
    <w:rsid w:val="006B1DD1"/>
    <w:rsid w:val="006B3396"/>
    <w:rsid w:val="006B3C61"/>
    <w:rsid w:val="006C195E"/>
    <w:rsid w:val="006C1970"/>
    <w:rsid w:val="006D638F"/>
    <w:rsid w:val="006E4EFB"/>
    <w:rsid w:val="006E7BF7"/>
    <w:rsid w:val="006F5262"/>
    <w:rsid w:val="00701B3F"/>
    <w:rsid w:val="0070677B"/>
    <w:rsid w:val="007068C8"/>
    <w:rsid w:val="00715B8F"/>
    <w:rsid w:val="0072111D"/>
    <w:rsid w:val="007300CB"/>
    <w:rsid w:val="0073106E"/>
    <w:rsid w:val="00732085"/>
    <w:rsid w:val="00746386"/>
    <w:rsid w:val="00755142"/>
    <w:rsid w:val="00755426"/>
    <w:rsid w:val="00756BB7"/>
    <w:rsid w:val="0075764B"/>
    <w:rsid w:val="00760C01"/>
    <w:rsid w:val="00761293"/>
    <w:rsid w:val="00767C04"/>
    <w:rsid w:val="00770DB2"/>
    <w:rsid w:val="007723F0"/>
    <w:rsid w:val="007736A2"/>
    <w:rsid w:val="0077668B"/>
    <w:rsid w:val="00777729"/>
    <w:rsid w:val="007A28D9"/>
    <w:rsid w:val="007A6226"/>
    <w:rsid w:val="007B3C61"/>
    <w:rsid w:val="007D0935"/>
    <w:rsid w:val="007D1918"/>
    <w:rsid w:val="007D26C4"/>
    <w:rsid w:val="007F03F2"/>
    <w:rsid w:val="007F6727"/>
    <w:rsid w:val="008065D7"/>
    <w:rsid w:val="00811D1C"/>
    <w:rsid w:val="00816E30"/>
    <w:rsid w:val="0082264B"/>
    <w:rsid w:val="0082765B"/>
    <w:rsid w:val="008352B1"/>
    <w:rsid w:val="00835BD7"/>
    <w:rsid w:val="008428E8"/>
    <w:rsid w:val="00843D71"/>
    <w:rsid w:val="00846F11"/>
    <w:rsid w:val="0084745A"/>
    <w:rsid w:val="00864EEC"/>
    <w:rsid w:val="00870045"/>
    <w:rsid w:val="00876E5F"/>
    <w:rsid w:val="00884A12"/>
    <w:rsid w:val="00890CE4"/>
    <w:rsid w:val="00891ED7"/>
    <w:rsid w:val="008A23B1"/>
    <w:rsid w:val="008A2FDD"/>
    <w:rsid w:val="008A3975"/>
    <w:rsid w:val="008B7B54"/>
    <w:rsid w:val="008C2E36"/>
    <w:rsid w:val="008C3187"/>
    <w:rsid w:val="008C5E4F"/>
    <w:rsid w:val="008D2826"/>
    <w:rsid w:val="008D63B7"/>
    <w:rsid w:val="008D6A03"/>
    <w:rsid w:val="008D6CA7"/>
    <w:rsid w:val="008E0648"/>
    <w:rsid w:val="008E4787"/>
    <w:rsid w:val="008E7FEE"/>
    <w:rsid w:val="008F31F5"/>
    <w:rsid w:val="008F67F5"/>
    <w:rsid w:val="008F6BCE"/>
    <w:rsid w:val="00900D4B"/>
    <w:rsid w:val="00905F9B"/>
    <w:rsid w:val="009170B9"/>
    <w:rsid w:val="00923A87"/>
    <w:rsid w:val="009269E4"/>
    <w:rsid w:val="00927482"/>
    <w:rsid w:val="00936FF5"/>
    <w:rsid w:val="00942B23"/>
    <w:rsid w:val="0095112B"/>
    <w:rsid w:val="0095712A"/>
    <w:rsid w:val="00961DDB"/>
    <w:rsid w:val="00973A6D"/>
    <w:rsid w:val="00974010"/>
    <w:rsid w:val="0098489F"/>
    <w:rsid w:val="009865AA"/>
    <w:rsid w:val="00987080"/>
    <w:rsid w:val="0098765A"/>
    <w:rsid w:val="00987CD6"/>
    <w:rsid w:val="009968B0"/>
    <w:rsid w:val="00996F70"/>
    <w:rsid w:val="009A6CB2"/>
    <w:rsid w:val="009B0982"/>
    <w:rsid w:val="009B4C99"/>
    <w:rsid w:val="009C13FB"/>
    <w:rsid w:val="009D1E36"/>
    <w:rsid w:val="009D28CF"/>
    <w:rsid w:val="009E20AC"/>
    <w:rsid w:val="009E5D36"/>
    <w:rsid w:val="009E6375"/>
    <w:rsid w:val="009E7CA0"/>
    <w:rsid w:val="00A04392"/>
    <w:rsid w:val="00A069CE"/>
    <w:rsid w:val="00A103EF"/>
    <w:rsid w:val="00A109D8"/>
    <w:rsid w:val="00A111A2"/>
    <w:rsid w:val="00A16003"/>
    <w:rsid w:val="00A167D7"/>
    <w:rsid w:val="00A23D39"/>
    <w:rsid w:val="00A23EC2"/>
    <w:rsid w:val="00A24FBB"/>
    <w:rsid w:val="00A3453E"/>
    <w:rsid w:val="00A418D1"/>
    <w:rsid w:val="00A42ED2"/>
    <w:rsid w:val="00A44B33"/>
    <w:rsid w:val="00A50E00"/>
    <w:rsid w:val="00A52529"/>
    <w:rsid w:val="00A53624"/>
    <w:rsid w:val="00A55EAF"/>
    <w:rsid w:val="00A5766B"/>
    <w:rsid w:val="00A77512"/>
    <w:rsid w:val="00A806A1"/>
    <w:rsid w:val="00A821C9"/>
    <w:rsid w:val="00A863E3"/>
    <w:rsid w:val="00A97BFB"/>
    <w:rsid w:val="00AA1A41"/>
    <w:rsid w:val="00AA246D"/>
    <w:rsid w:val="00AB0BBC"/>
    <w:rsid w:val="00AB3A92"/>
    <w:rsid w:val="00AB478B"/>
    <w:rsid w:val="00AB47AC"/>
    <w:rsid w:val="00AB4AD9"/>
    <w:rsid w:val="00AB5B01"/>
    <w:rsid w:val="00AC3D09"/>
    <w:rsid w:val="00AD6E77"/>
    <w:rsid w:val="00AD7A25"/>
    <w:rsid w:val="00AE2666"/>
    <w:rsid w:val="00AE5D10"/>
    <w:rsid w:val="00AF3A5A"/>
    <w:rsid w:val="00AF3E15"/>
    <w:rsid w:val="00AF5218"/>
    <w:rsid w:val="00B00FAE"/>
    <w:rsid w:val="00B0480E"/>
    <w:rsid w:val="00B10236"/>
    <w:rsid w:val="00B1026A"/>
    <w:rsid w:val="00B21166"/>
    <w:rsid w:val="00B263AE"/>
    <w:rsid w:val="00B33102"/>
    <w:rsid w:val="00B33A6C"/>
    <w:rsid w:val="00B47091"/>
    <w:rsid w:val="00B56534"/>
    <w:rsid w:val="00B57A21"/>
    <w:rsid w:val="00B62C3E"/>
    <w:rsid w:val="00B645DE"/>
    <w:rsid w:val="00B65857"/>
    <w:rsid w:val="00B66698"/>
    <w:rsid w:val="00B745DC"/>
    <w:rsid w:val="00B84350"/>
    <w:rsid w:val="00B855A6"/>
    <w:rsid w:val="00B87FE5"/>
    <w:rsid w:val="00B91098"/>
    <w:rsid w:val="00B91904"/>
    <w:rsid w:val="00B9256D"/>
    <w:rsid w:val="00B92735"/>
    <w:rsid w:val="00B969ED"/>
    <w:rsid w:val="00BA00B2"/>
    <w:rsid w:val="00BA77F1"/>
    <w:rsid w:val="00BB0D90"/>
    <w:rsid w:val="00BB60C6"/>
    <w:rsid w:val="00BB7984"/>
    <w:rsid w:val="00BC6A06"/>
    <w:rsid w:val="00BD137C"/>
    <w:rsid w:val="00BE3329"/>
    <w:rsid w:val="00BE3BC7"/>
    <w:rsid w:val="00BF1AB7"/>
    <w:rsid w:val="00BF764C"/>
    <w:rsid w:val="00BF7FE9"/>
    <w:rsid w:val="00C03596"/>
    <w:rsid w:val="00C05EEC"/>
    <w:rsid w:val="00C11738"/>
    <w:rsid w:val="00C11EC8"/>
    <w:rsid w:val="00C14892"/>
    <w:rsid w:val="00C15489"/>
    <w:rsid w:val="00C15A13"/>
    <w:rsid w:val="00C238D9"/>
    <w:rsid w:val="00C24A9D"/>
    <w:rsid w:val="00C2677E"/>
    <w:rsid w:val="00C31542"/>
    <w:rsid w:val="00C319A9"/>
    <w:rsid w:val="00C323CA"/>
    <w:rsid w:val="00C41C61"/>
    <w:rsid w:val="00C436A4"/>
    <w:rsid w:val="00C5526B"/>
    <w:rsid w:val="00C6078D"/>
    <w:rsid w:val="00C657CF"/>
    <w:rsid w:val="00C70BCA"/>
    <w:rsid w:val="00C72561"/>
    <w:rsid w:val="00C76304"/>
    <w:rsid w:val="00C80D62"/>
    <w:rsid w:val="00C8388B"/>
    <w:rsid w:val="00C84944"/>
    <w:rsid w:val="00C8703D"/>
    <w:rsid w:val="00C934E9"/>
    <w:rsid w:val="00C93635"/>
    <w:rsid w:val="00C96BFD"/>
    <w:rsid w:val="00C96C98"/>
    <w:rsid w:val="00CA5358"/>
    <w:rsid w:val="00CB1DCA"/>
    <w:rsid w:val="00CC0CC1"/>
    <w:rsid w:val="00CC5121"/>
    <w:rsid w:val="00CC51AC"/>
    <w:rsid w:val="00CD502A"/>
    <w:rsid w:val="00CF12CF"/>
    <w:rsid w:val="00CF4BE3"/>
    <w:rsid w:val="00D060D2"/>
    <w:rsid w:val="00D07A84"/>
    <w:rsid w:val="00D10004"/>
    <w:rsid w:val="00D13E2D"/>
    <w:rsid w:val="00D14394"/>
    <w:rsid w:val="00D16FB4"/>
    <w:rsid w:val="00D242CD"/>
    <w:rsid w:val="00D341C3"/>
    <w:rsid w:val="00D42843"/>
    <w:rsid w:val="00D5152A"/>
    <w:rsid w:val="00D65145"/>
    <w:rsid w:val="00D74314"/>
    <w:rsid w:val="00D81410"/>
    <w:rsid w:val="00D92505"/>
    <w:rsid w:val="00D93B34"/>
    <w:rsid w:val="00DA267C"/>
    <w:rsid w:val="00DA2999"/>
    <w:rsid w:val="00DA5101"/>
    <w:rsid w:val="00DA79EF"/>
    <w:rsid w:val="00DB0C0B"/>
    <w:rsid w:val="00DB3B74"/>
    <w:rsid w:val="00DB4DEB"/>
    <w:rsid w:val="00DC5870"/>
    <w:rsid w:val="00DD0384"/>
    <w:rsid w:val="00DD0901"/>
    <w:rsid w:val="00DE16B6"/>
    <w:rsid w:val="00DE3323"/>
    <w:rsid w:val="00DE36CA"/>
    <w:rsid w:val="00DE6A39"/>
    <w:rsid w:val="00DE7E63"/>
    <w:rsid w:val="00DF1AD9"/>
    <w:rsid w:val="00DF2C01"/>
    <w:rsid w:val="00DF43A6"/>
    <w:rsid w:val="00DF77A2"/>
    <w:rsid w:val="00E01EE6"/>
    <w:rsid w:val="00E03A98"/>
    <w:rsid w:val="00E21229"/>
    <w:rsid w:val="00E367C5"/>
    <w:rsid w:val="00E37E71"/>
    <w:rsid w:val="00E42486"/>
    <w:rsid w:val="00E42847"/>
    <w:rsid w:val="00E43E7C"/>
    <w:rsid w:val="00E46064"/>
    <w:rsid w:val="00E604A1"/>
    <w:rsid w:val="00E65010"/>
    <w:rsid w:val="00E73AA8"/>
    <w:rsid w:val="00E80228"/>
    <w:rsid w:val="00E8405F"/>
    <w:rsid w:val="00E8651B"/>
    <w:rsid w:val="00E86D2A"/>
    <w:rsid w:val="00E87336"/>
    <w:rsid w:val="00EA2ED4"/>
    <w:rsid w:val="00EA491A"/>
    <w:rsid w:val="00EB1583"/>
    <w:rsid w:val="00EB54A9"/>
    <w:rsid w:val="00EB5680"/>
    <w:rsid w:val="00EC19A5"/>
    <w:rsid w:val="00EC23FB"/>
    <w:rsid w:val="00ED7681"/>
    <w:rsid w:val="00EE243C"/>
    <w:rsid w:val="00EE64DD"/>
    <w:rsid w:val="00EF63C6"/>
    <w:rsid w:val="00F034FB"/>
    <w:rsid w:val="00F05606"/>
    <w:rsid w:val="00F105F5"/>
    <w:rsid w:val="00F1075A"/>
    <w:rsid w:val="00F10BA4"/>
    <w:rsid w:val="00F17BD8"/>
    <w:rsid w:val="00F22E82"/>
    <w:rsid w:val="00F2483A"/>
    <w:rsid w:val="00F27359"/>
    <w:rsid w:val="00F337BF"/>
    <w:rsid w:val="00F33D14"/>
    <w:rsid w:val="00F37A8C"/>
    <w:rsid w:val="00F473B6"/>
    <w:rsid w:val="00F52E57"/>
    <w:rsid w:val="00F53E06"/>
    <w:rsid w:val="00F54188"/>
    <w:rsid w:val="00F54CC0"/>
    <w:rsid w:val="00F56DB0"/>
    <w:rsid w:val="00F64327"/>
    <w:rsid w:val="00F727A5"/>
    <w:rsid w:val="00F847A9"/>
    <w:rsid w:val="00F9093A"/>
    <w:rsid w:val="00FA19F2"/>
    <w:rsid w:val="00FA5375"/>
    <w:rsid w:val="00FA5FE9"/>
    <w:rsid w:val="00FA67D2"/>
    <w:rsid w:val="00FB302F"/>
    <w:rsid w:val="00FB5A92"/>
    <w:rsid w:val="00FC085B"/>
    <w:rsid w:val="00FC1C69"/>
    <w:rsid w:val="00FC2183"/>
    <w:rsid w:val="00FC3739"/>
    <w:rsid w:val="00FC7349"/>
    <w:rsid w:val="00FE5AD9"/>
    <w:rsid w:val="00FE7A33"/>
    <w:rsid w:val="00FF33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3A"/>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5"/>
      </w:numPr>
    </w:pPr>
  </w:style>
  <w:style w:type="paragraph" w:customStyle="1" w:styleId="Numberedpara1level4i">
    <w:name w:val="Numbered para (1) level 4 (i)"/>
    <w:basedOn w:val="Normal"/>
    <w:semiHidden/>
    <w:unhideWhenUsed/>
    <w:rsid w:val="00065F18"/>
    <w:pPr>
      <w:numPr>
        <w:ilvl w:val="3"/>
        <w:numId w:val="25"/>
      </w:numPr>
    </w:pPr>
  </w:style>
  <w:style w:type="paragraph" w:customStyle="1" w:styleId="Bullet">
    <w:name w:val="Bullet"/>
    <w:basedOn w:val="Normal"/>
    <w:rsid w:val="004E11C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20"/>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A42F13"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546B" w:themeColor="text2"/>
      <w:lang w:eastAsia="en-US"/>
    </w:rPr>
  </w:style>
  <w:style w:type="paragraph" w:customStyle="1" w:styleId="Coverpageheading">
    <w:name w:val="Cover page heading"/>
    <w:basedOn w:val="Normal"/>
    <w:next w:val="Normal"/>
    <w:rsid w:val="00DF43A6"/>
    <w:pPr>
      <w:spacing w:before="0"/>
    </w:pPr>
    <w:rPr>
      <w:b/>
      <w:color w:val="1F546B"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20"/>
      </w:numPr>
      <w:spacing w:before="80" w:after="80"/>
    </w:pPr>
  </w:style>
  <w:style w:type="paragraph" w:customStyle="1" w:styleId="List123level2">
    <w:name w:val="List 1 2 3 level 2"/>
    <w:basedOn w:val="Normal"/>
    <w:uiPriority w:val="1"/>
    <w:qFormat/>
    <w:rsid w:val="00974010"/>
    <w:pPr>
      <w:numPr>
        <w:ilvl w:val="1"/>
        <w:numId w:val="21"/>
      </w:numPr>
      <w:spacing w:before="80" w:after="80"/>
    </w:pPr>
  </w:style>
  <w:style w:type="paragraph" w:customStyle="1" w:styleId="List123level3">
    <w:name w:val="List 1 2 3 level 3"/>
    <w:basedOn w:val="Normal"/>
    <w:uiPriority w:val="1"/>
    <w:qFormat/>
    <w:rsid w:val="00974010"/>
    <w:pPr>
      <w:numPr>
        <w:ilvl w:val="2"/>
        <w:numId w:val="21"/>
      </w:numPr>
      <w:spacing w:before="80" w:after="80"/>
    </w:pPr>
  </w:style>
  <w:style w:type="paragraph" w:customStyle="1" w:styleId="Legislationsection">
    <w:name w:val="Legislation section"/>
    <w:basedOn w:val="Normal"/>
    <w:semiHidden/>
    <w:qFormat/>
    <w:rsid w:val="00974010"/>
    <w:pPr>
      <w:keepNext/>
      <w:numPr>
        <w:numId w:val="23"/>
      </w:numPr>
      <w:spacing w:after="60"/>
    </w:pPr>
    <w:rPr>
      <w:b/>
      <w:sz w:val="22"/>
    </w:rPr>
  </w:style>
  <w:style w:type="paragraph" w:customStyle="1" w:styleId="Legislationnumber">
    <w:name w:val="Legislation number"/>
    <w:basedOn w:val="Normal"/>
    <w:semiHidden/>
    <w:qFormat/>
    <w:rsid w:val="00974010"/>
    <w:pPr>
      <w:numPr>
        <w:numId w:val="22"/>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3"/>
      </w:numPr>
      <w:spacing w:before="60" w:after="60"/>
    </w:pPr>
    <w:rPr>
      <w:sz w:val="22"/>
    </w:rPr>
  </w:style>
  <w:style w:type="paragraph" w:customStyle="1" w:styleId="Legislationi">
    <w:name w:val="Legislation (i)"/>
    <w:basedOn w:val="Normal"/>
    <w:semiHidden/>
    <w:qFormat/>
    <w:rsid w:val="00974010"/>
    <w:pPr>
      <w:numPr>
        <w:ilvl w:val="3"/>
        <w:numId w:val="23"/>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546B"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6"/>
      </w:numPr>
      <w:spacing w:after="120"/>
    </w:pPr>
  </w:style>
  <w:style w:type="paragraph" w:customStyle="1" w:styleId="Numberedpara3level211">
    <w:name w:val="Numbered para (3) level 2 (1.1)"/>
    <w:basedOn w:val="Normal"/>
    <w:qFormat/>
    <w:rsid w:val="00A806A1"/>
    <w:pPr>
      <w:numPr>
        <w:ilvl w:val="1"/>
        <w:numId w:val="26"/>
      </w:numPr>
      <w:spacing w:after="120"/>
    </w:pPr>
  </w:style>
  <w:style w:type="paragraph" w:customStyle="1" w:styleId="Recommendations">
    <w:name w:val="Recommendations"/>
    <w:basedOn w:val="Normal"/>
    <w:semiHidden/>
    <w:qFormat/>
    <w:rsid w:val="0017276A"/>
    <w:pPr>
      <w:numPr>
        <w:numId w:val="28"/>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5"/>
      </w:numPr>
    </w:pPr>
  </w:style>
  <w:style w:type="paragraph" w:customStyle="1" w:styleId="Numberedpara11headingwithnumber">
    <w:name w:val="Numbered para (1) 1 (heading with number)"/>
    <w:basedOn w:val="Normal"/>
    <w:semiHidden/>
    <w:qFormat/>
    <w:rsid w:val="00974010"/>
    <w:pPr>
      <w:keepNext/>
      <w:numPr>
        <w:numId w:val="25"/>
      </w:numPr>
      <w:spacing w:before="240" w:after="120"/>
    </w:pPr>
    <w:rPr>
      <w:b/>
      <w:sz w:val="28"/>
    </w:rPr>
  </w:style>
  <w:style w:type="paragraph" w:customStyle="1" w:styleId="Crossreference">
    <w:name w:val="Cross reference"/>
    <w:basedOn w:val="Normal"/>
    <w:semiHidden/>
    <w:qFormat/>
    <w:rsid w:val="00974010"/>
    <w:rPr>
      <w:i/>
      <w:color w:val="1F546B"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6"/>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4"/>
      </w:numPr>
      <w:spacing w:after="120"/>
    </w:pPr>
  </w:style>
  <w:style w:type="paragraph" w:customStyle="1" w:styleId="Numberedpara2level2a">
    <w:name w:val="Numbered para (2) level 2 (a)"/>
    <w:basedOn w:val="Normal"/>
    <w:semiHidden/>
    <w:qFormat/>
    <w:rsid w:val="00974010"/>
    <w:pPr>
      <w:numPr>
        <w:ilvl w:val="1"/>
        <w:numId w:val="24"/>
      </w:numPr>
      <w:spacing w:after="120"/>
    </w:pPr>
  </w:style>
  <w:style w:type="paragraph" w:customStyle="1" w:styleId="Numberedpara2level3i">
    <w:name w:val="Numbered para (2) level 3 (i)"/>
    <w:basedOn w:val="Normal"/>
    <w:semiHidden/>
    <w:qFormat/>
    <w:rsid w:val="00974010"/>
    <w:pPr>
      <w:numPr>
        <w:ilvl w:val="2"/>
        <w:numId w:val="24"/>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7"/>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table" w:customStyle="1" w:styleId="TableGrid10">
    <w:name w:val="Table Grid1"/>
    <w:basedOn w:val="TableNormal"/>
    <w:next w:val="TableGrid"/>
    <w:rsid w:val="004737E1"/>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737E1"/>
    <w:rPr>
      <w:rFonts w:eastAsiaTheme="minorHAnsi"/>
      <w:sz w:val="20"/>
      <w:szCs w:val="20"/>
      <w:lang w:eastAsia="en-US"/>
    </w:rPr>
  </w:style>
  <w:style w:type="table" w:customStyle="1" w:styleId="TableGrid11">
    <w:name w:val="Table Grid11"/>
    <w:basedOn w:val="TableNormal"/>
    <w:next w:val="TableGrid"/>
    <w:rsid w:val="005B3D3D"/>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3A"/>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5"/>
      </w:numPr>
    </w:pPr>
  </w:style>
  <w:style w:type="paragraph" w:customStyle="1" w:styleId="Numberedpara1level4i">
    <w:name w:val="Numbered para (1) level 4 (i)"/>
    <w:basedOn w:val="Normal"/>
    <w:semiHidden/>
    <w:unhideWhenUsed/>
    <w:rsid w:val="00065F18"/>
    <w:pPr>
      <w:numPr>
        <w:ilvl w:val="3"/>
        <w:numId w:val="25"/>
      </w:numPr>
    </w:pPr>
  </w:style>
  <w:style w:type="paragraph" w:customStyle="1" w:styleId="Bullet">
    <w:name w:val="Bullet"/>
    <w:basedOn w:val="Normal"/>
    <w:rsid w:val="004E11C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20"/>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A42F13"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546B" w:themeColor="text2"/>
      <w:lang w:eastAsia="en-US"/>
    </w:rPr>
  </w:style>
  <w:style w:type="paragraph" w:customStyle="1" w:styleId="Coverpageheading">
    <w:name w:val="Cover page heading"/>
    <w:basedOn w:val="Normal"/>
    <w:next w:val="Normal"/>
    <w:rsid w:val="00DF43A6"/>
    <w:pPr>
      <w:spacing w:before="0"/>
    </w:pPr>
    <w:rPr>
      <w:b/>
      <w:color w:val="1F546B"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20"/>
      </w:numPr>
      <w:spacing w:before="80" w:after="80"/>
    </w:pPr>
  </w:style>
  <w:style w:type="paragraph" w:customStyle="1" w:styleId="List123level2">
    <w:name w:val="List 1 2 3 level 2"/>
    <w:basedOn w:val="Normal"/>
    <w:uiPriority w:val="1"/>
    <w:qFormat/>
    <w:rsid w:val="00974010"/>
    <w:pPr>
      <w:numPr>
        <w:ilvl w:val="1"/>
        <w:numId w:val="21"/>
      </w:numPr>
      <w:spacing w:before="80" w:after="80"/>
    </w:pPr>
  </w:style>
  <w:style w:type="paragraph" w:customStyle="1" w:styleId="List123level3">
    <w:name w:val="List 1 2 3 level 3"/>
    <w:basedOn w:val="Normal"/>
    <w:uiPriority w:val="1"/>
    <w:qFormat/>
    <w:rsid w:val="00974010"/>
    <w:pPr>
      <w:numPr>
        <w:ilvl w:val="2"/>
        <w:numId w:val="21"/>
      </w:numPr>
      <w:spacing w:before="80" w:after="80"/>
    </w:pPr>
  </w:style>
  <w:style w:type="paragraph" w:customStyle="1" w:styleId="Legislationsection">
    <w:name w:val="Legislation section"/>
    <w:basedOn w:val="Normal"/>
    <w:semiHidden/>
    <w:qFormat/>
    <w:rsid w:val="00974010"/>
    <w:pPr>
      <w:keepNext/>
      <w:numPr>
        <w:numId w:val="23"/>
      </w:numPr>
      <w:spacing w:after="60"/>
    </w:pPr>
    <w:rPr>
      <w:b/>
      <w:sz w:val="22"/>
    </w:rPr>
  </w:style>
  <w:style w:type="paragraph" w:customStyle="1" w:styleId="Legislationnumber">
    <w:name w:val="Legislation number"/>
    <w:basedOn w:val="Normal"/>
    <w:semiHidden/>
    <w:qFormat/>
    <w:rsid w:val="00974010"/>
    <w:pPr>
      <w:numPr>
        <w:numId w:val="22"/>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3"/>
      </w:numPr>
      <w:spacing w:before="60" w:after="60"/>
    </w:pPr>
    <w:rPr>
      <w:sz w:val="22"/>
    </w:rPr>
  </w:style>
  <w:style w:type="paragraph" w:customStyle="1" w:styleId="Legislationi">
    <w:name w:val="Legislation (i)"/>
    <w:basedOn w:val="Normal"/>
    <w:semiHidden/>
    <w:qFormat/>
    <w:rsid w:val="00974010"/>
    <w:pPr>
      <w:numPr>
        <w:ilvl w:val="3"/>
        <w:numId w:val="23"/>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546B"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6"/>
      </w:numPr>
      <w:spacing w:after="120"/>
    </w:pPr>
  </w:style>
  <w:style w:type="paragraph" w:customStyle="1" w:styleId="Numberedpara3level211">
    <w:name w:val="Numbered para (3) level 2 (1.1)"/>
    <w:basedOn w:val="Normal"/>
    <w:qFormat/>
    <w:rsid w:val="00A806A1"/>
    <w:pPr>
      <w:numPr>
        <w:ilvl w:val="1"/>
        <w:numId w:val="26"/>
      </w:numPr>
      <w:spacing w:after="120"/>
    </w:pPr>
  </w:style>
  <w:style w:type="paragraph" w:customStyle="1" w:styleId="Recommendations">
    <w:name w:val="Recommendations"/>
    <w:basedOn w:val="Normal"/>
    <w:semiHidden/>
    <w:qFormat/>
    <w:rsid w:val="0017276A"/>
    <w:pPr>
      <w:numPr>
        <w:numId w:val="28"/>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5"/>
      </w:numPr>
    </w:pPr>
  </w:style>
  <w:style w:type="paragraph" w:customStyle="1" w:styleId="Numberedpara11headingwithnumber">
    <w:name w:val="Numbered para (1) 1 (heading with number)"/>
    <w:basedOn w:val="Normal"/>
    <w:semiHidden/>
    <w:qFormat/>
    <w:rsid w:val="00974010"/>
    <w:pPr>
      <w:keepNext/>
      <w:numPr>
        <w:numId w:val="25"/>
      </w:numPr>
      <w:spacing w:before="240" w:after="120"/>
    </w:pPr>
    <w:rPr>
      <w:b/>
      <w:sz w:val="28"/>
    </w:rPr>
  </w:style>
  <w:style w:type="paragraph" w:customStyle="1" w:styleId="Crossreference">
    <w:name w:val="Cross reference"/>
    <w:basedOn w:val="Normal"/>
    <w:semiHidden/>
    <w:qFormat/>
    <w:rsid w:val="00974010"/>
    <w:rPr>
      <w:i/>
      <w:color w:val="1F546B"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6"/>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4"/>
      </w:numPr>
      <w:spacing w:after="120"/>
    </w:pPr>
  </w:style>
  <w:style w:type="paragraph" w:customStyle="1" w:styleId="Numberedpara2level2a">
    <w:name w:val="Numbered para (2) level 2 (a)"/>
    <w:basedOn w:val="Normal"/>
    <w:semiHidden/>
    <w:qFormat/>
    <w:rsid w:val="00974010"/>
    <w:pPr>
      <w:numPr>
        <w:ilvl w:val="1"/>
        <w:numId w:val="24"/>
      </w:numPr>
      <w:spacing w:after="120"/>
    </w:pPr>
  </w:style>
  <w:style w:type="paragraph" w:customStyle="1" w:styleId="Numberedpara2level3i">
    <w:name w:val="Numbered para (2) level 3 (i)"/>
    <w:basedOn w:val="Normal"/>
    <w:semiHidden/>
    <w:qFormat/>
    <w:rsid w:val="00974010"/>
    <w:pPr>
      <w:numPr>
        <w:ilvl w:val="2"/>
        <w:numId w:val="24"/>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7"/>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table" w:customStyle="1" w:styleId="TableGrid10">
    <w:name w:val="Table Grid1"/>
    <w:basedOn w:val="TableNormal"/>
    <w:next w:val="TableGrid"/>
    <w:rsid w:val="004737E1"/>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737E1"/>
    <w:rPr>
      <w:rFonts w:eastAsiaTheme="minorHAnsi"/>
      <w:sz w:val="20"/>
      <w:szCs w:val="20"/>
      <w:lang w:eastAsia="en-US"/>
    </w:rPr>
  </w:style>
  <w:style w:type="table" w:customStyle="1" w:styleId="TableGrid11">
    <w:name w:val="Table Grid11"/>
    <w:basedOn w:val="TableNormal"/>
    <w:next w:val="TableGrid"/>
    <w:rsid w:val="005B3D3D"/>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Ministerial%20Templates\Briefings\Internal%20Affairs%20briefing.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100" b="1">
                <a:solidFill>
                  <a:schemeClr val="accent5"/>
                </a:solidFill>
              </a:defRPr>
            </a:pPr>
            <a:r>
              <a:rPr lang="en-NZ" sz="1100" b="1" i="0" baseline="0">
                <a:solidFill>
                  <a:schemeClr val="accent5"/>
                </a:solidFill>
                <a:effectLst/>
              </a:rPr>
              <a:t>Ease of getting service</a:t>
            </a:r>
            <a:endParaRPr lang="en-NZ" sz="1100" b="1">
              <a:solidFill>
                <a:schemeClr val="accent5"/>
              </a:solidFill>
              <a:effectLst/>
            </a:endParaRPr>
          </a:p>
        </c:rich>
      </c:tx>
      <c:layout/>
      <c:overlay val="0"/>
    </c:title>
    <c:autoTitleDeleted val="0"/>
    <c:plotArea>
      <c:layout/>
      <c:barChart>
        <c:barDir val="col"/>
        <c:grouping val="stacked"/>
        <c:varyColors val="0"/>
        <c:ser>
          <c:idx val="0"/>
          <c:order val="0"/>
          <c:tx>
            <c:strRef>
              <c:f>Sheet2!$A$2:$B$2</c:f>
              <c:strCache>
                <c:ptCount val="1"/>
              </c:strCache>
            </c:strRef>
          </c:tx>
          <c:spPr>
            <a:solidFill>
              <a:schemeClr val="accent5">
                <a:lumMod val="40000"/>
                <a:lumOff val="60000"/>
              </a:schemeClr>
            </a:solidFill>
          </c:spPr>
          <c:invertIfNegative val="0"/>
          <c:cat>
            <c:multiLvlStrRef>
              <c:f>Sheet2!$C$1:$S$2</c:f>
              <c:multiLvlStrCache>
                <c:ptCount val="17"/>
                <c:lvl>
                  <c:pt idx="0">
                    <c:v>2014-15</c:v>
                  </c:pt>
                  <c:pt idx="1">
                    <c:v>2015-16</c:v>
                  </c:pt>
                  <c:pt idx="3">
                    <c:v>2014-15</c:v>
                  </c:pt>
                  <c:pt idx="4">
                    <c:v>2015-16</c:v>
                  </c:pt>
                  <c:pt idx="6">
                    <c:v>2014-15</c:v>
                  </c:pt>
                  <c:pt idx="7">
                    <c:v>2015-16</c:v>
                  </c:pt>
                  <c:pt idx="9">
                    <c:v>2014-15</c:v>
                  </c:pt>
                  <c:pt idx="10">
                    <c:v>2015-16</c:v>
                  </c:pt>
                  <c:pt idx="12">
                    <c:v>2014-15</c:v>
                  </c:pt>
                  <c:pt idx="13">
                    <c:v>2015-16</c:v>
                  </c:pt>
                  <c:pt idx="15">
                    <c:v>2014-15</c:v>
                  </c:pt>
                  <c:pt idx="16">
                    <c:v>2015-16</c:v>
                  </c:pt>
                </c:lvl>
                <c:lvl>
                  <c:pt idx="0">
                    <c:v>SDO Total</c:v>
                  </c:pt>
                  <c:pt idx="3">
                    <c:v>Citizenship Services</c:v>
                  </c:pt>
                  <c:pt idx="6">
                    <c:v>Passports Services</c:v>
                  </c:pt>
                  <c:pt idx="9">
                    <c:v>Charities Services</c:v>
                  </c:pt>
                  <c:pt idx="12">
                    <c:v>Community Operation Services</c:v>
                  </c:pt>
                  <c:pt idx="15">
                    <c:v>BDM Services</c:v>
                  </c:pt>
                </c:lvl>
              </c:multiLvlStrCache>
            </c:multiLvlStrRef>
          </c:cat>
          <c:val>
            <c:numRef>
              <c:f>Sheet2!$C$2:$S$2</c:f>
              <c:numCache>
                <c:formatCode>General</c:formatCode>
                <c:ptCount val="17"/>
                <c:pt idx="0">
                  <c:v>0</c:v>
                </c:pt>
                <c:pt idx="1">
                  <c:v>0</c:v>
                </c:pt>
                <c:pt idx="3">
                  <c:v>0</c:v>
                </c:pt>
                <c:pt idx="4">
                  <c:v>0</c:v>
                </c:pt>
                <c:pt idx="6">
                  <c:v>0</c:v>
                </c:pt>
                <c:pt idx="7">
                  <c:v>0</c:v>
                </c:pt>
                <c:pt idx="9">
                  <c:v>0</c:v>
                </c:pt>
                <c:pt idx="10">
                  <c:v>0</c:v>
                </c:pt>
                <c:pt idx="12">
                  <c:v>0</c:v>
                </c:pt>
                <c:pt idx="13">
                  <c:v>0</c:v>
                </c:pt>
                <c:pt idx="15">
                  <c:v>0</c:v>
                </c:pt>
                <c:pt idx="16">
                  <c:v>0</c:v>
                </c:pt>
              </c:numCache>
            </c:numRef>
          </c:val>
        </c:ser>
        <c:ser>
          <c:idx val="3"/>
          <c:order val="1"/>
          <c:tx>
            <c:strRef>
              <c:f>Sheet2!$A$5:$B$5</c:f>
              <c:strCache>
                <c:ptCount val="1"/>
                <c:pt idx="0">
                  <c:v>Easy</c:v>
                </c:pt>
              </c:strCache>
            </c:strRef>
          </c:tx>
          <c:spPr>
            <a:solidFill>
              <a:schemeClr val="accent5">
                <a:lumMod val="40000"/>
                <a:lumOff val="60000"/>
              </a:schemeClr>
            </a:solidFill>
          </c:spPr>
          <c:invertIfNegative val="0"/>
          <c:dLbls>
            <c:txPr>
              <a:bodyPr/>
              <a:lstStyle/>
              <a:p>
                <a:pPr>
                  <a:defRPr sz="600"/>
                </a:pPr>
                <a:endParaRPr lang="en-US"/>
              </a:p>
            </c:txPr>
            <c:showLegendKey val="0"/>
            <c:showVal val="1"/>
            <c:showCatName val="0"/>
            <c:showSerName val="0"/>
            <c:showPercent val="0"/>
            <c:showBubbleSize val="0"/>
            <c:showLeaderLines val="0"/>
          </c:dLbls>
          <c:cat>
            <c:multiLvlStrRef>
              <c:f>Sheet2!$C$1:$S$2</c:f>
              <c:multiLvlStrCache>
                <c:ptCount val="17"/>
                <c:lvl>
                  <c:pt idx="0">
                    <c:v>2014-15</c:v>
                  </c:pt>
                  <c:pt idx="1">
                    <c:v>2015-16</c:v>
                  </c:pt>
                  <c:pt idx="3">
                    <c:v>2014-15</c:v>
                  </c:pt>
                  <c:pt idx="4">
                    <c:v>2015-16</c:v>
                  </c:pt>
                  <c:pt idx="6">
                    <c:v>2014-15</c:v>
                  </c:pt>
                  <c:pt idx="7">
                    <c:v>2015-16</c:v>
                  </c:pt>
                  <c:pt idx="9">
                    <c:v>2014-15</c:v>
                  </c:pt>
                  <c:pt idx="10">
                    <c:v>2015-16</c:v>
                  </c:pt>
                  <c:pt idx="12">
                    <c:v>2014-15</c:v>
                  </c:pt>
                  <c:pt idx="13">
                    <c:v>2015-16</c:v>
                  </c:pt>
                  <c:pt idx="15">
                    <c:v>2014-15</c:v>
                  </c:pt>
                  <c:pt idx="16">
                    <c:v>2015-16</c:v>
                  </c:pt>
                </c:lvl>
                <c:lvl>
                  <c:pt idx="0">
                    <c:v>SDO Total</c:v>
                  </c:pt>
                  <c:pt idx="3">
                    <c:v>Citizenship Services</c:v>
                  </c:pt>
                  <c:pt idx="6">
                    <c:v>Passports Services</c:v>
                  </c:pt>
                  <c:pt idx="9">
                    <c:v>Charities Services</c:v>
                  </c:pt>
                  <c:pt idx="12">
                    <c:v>Community Operation Services</c:v>
                  </c:pt>
                  <c:pt idx="15">
                    <c:v>BDM Services</c:v>
                  </c:pt>
                </c:lvl>
              </c:multiLvlStrCache>
            </c:multiLvlStrRef>
          </c:cat>
          <c:val>
            <c:numRef>
              <c:f>Sheet2!$C$5:$S$5</c:f>
              <c:numCache>
                <c:formatCode>0</c:formatCode>
                <c:ptCount val="17"/>
                <c:pt idx="0">
                  <c:v>80</c:v>
                </c:pt>
                <c:pt idx="1">
                  <c:v>80</c:v>
                </c:pt>
                <c:pt idx="3">
                  <c:v>86</c:v>
                </c:pt>
                <c:pt idx="4">
                  <c:v>90</c:v>
                </c:pt>
                <c:pt idx="6">
                  <c:v>87</c:v>
                </c:pt>
                <c:pt idx="7">
                  <c:v>85</c:v>
                </c:pt>
                <c:pt idx="9">
                  <c:v>66</c:v>
                </c:pt>
                <c:pt idx="10">
                  <c:v>68</c:v>
                </c:pt>
                <c:pt idx="12">
                  <c:v>75</c:v>
                </c:pt>
                <c:pt idx="13">
                  <c:v>70</c:v>
                </c:pt>
                <c:pt idx="15">
                  <c:v>86</c:v>
                </c:pt>
                <c:pt idx="16">
                  <c:v>87</c:v>
                </c:pt>
              </c:numCache>
            </c:numRef>
          </c:val>
        </c:ser>
        <c:ser>
          <c:idx val="2"/>
          <c:order val="2"/>
          <c:tx>
            <c:strRef>
              <c:f>Sheet2!$A$4:$B$4</c:f>
              <c:strCache>
                <c:ptCount val="1"/>
                <c:pt idx="0">
                  <c:v>Not easy</c:v>
                </c:pt>
              </c:strCache>
            </c:strRef>
          </c:tx>
          <c:spPr>
            <a:solidFill>
              <a:schemeClr val="accent5"/>
            </a:solidFill>
          </c:spPr>
          <c:invertIfNegative val="0"/>
          <c:dLbls>
            <c:txPr>
              <a:bodyPr/>
              <a:lstStyle/>
              <a:p>
                <a:pPr>
                  <a:defRPr sz="600"/>
                </a:pPr>
                <a:endParaRPr lang="en-US"/>
              </a:p>
            </c:txPr>
            <c:showLegendKey val="0"/>
            <c:showVal val="1"/>
            <c:showCatName val="0"/>
            <c:showSerName val="0"/>
            <c:showPercent val="0"/>
            <c:showBubbleSize val="0"/>
            <c:showLeaderLines val="0"/>
          </c:dLbls>
          <c:cat>
            <c:multiLvlStrRef>
              <c:f>Sheet2!$C$1:$S$2</c:f>
              <c:multiLvlStrCache>
                <c:ptCount val="17"/>
                <c:lvl>
                  <c:pt idx="0">
                    <c:v>2014-15</c:v>
                  </c:pt>
                  <c:pt idx="1">
                    <c:v>2015-16</c:v>
                  </c:pt>
                  <c:pt idx="3">
                    <c:v>2014-15</c:v>
                  </c:pt>
                  <c:pt idx="4">
                    <c:v>2015-16</c:v>
                  </c:pt>
                  <c:pt idx="6">
                    <c:v>2014-15</c:v>
                  </c:pt>
                  <c:pt idx="7">
                    <c:v>2015-16</c:v>
                  </c:pt>
                  <c:pt idx="9">
                    <c:v>2014-15</c:v>
                  </c:pt>
                  <c:pt idx="10">
                    <c:v>2015-16</c:v>
                  </c:pt>
                  <c:pt idx="12">
                    <c:v>2014-15</c:v>
                  </c:pt>
                  <c:pt idx="13">
                    <c:v>2015-16</c:v>
                  </c:pt>
                  <c:pt idx="15">
                    <c:v>2014-15</c:v>
                  </c:pt>
                  <c:pt idx="16">
                    <c:v>2015-16</c:v>
                  </c:pt>
                </c:lvl>
                <c:lvl>
                  <c:pt idx="0">
                    <c:v>SDO Total</c:v>
                  </c:pt>
                  <c:pt idx="3">
                    <c:v>Citizenship Services</c:v>
                  </c:pt>
                  <c:pt idx="6">
                    <c:v>Passports Services</c:v>
                  </c:pt>
                  <c:pt idx="9">
                    <c:v>Charities Services</c:v>
                  </c:pt>
                  <c:pt idx="12">
                    <c:v>Community Operation Services</c:v>
                  </c:pt>
                  <c:pt idx="15">
                    <c:v>BDM Services</c:v>
                  </c:pt>
                </c:lvl>
              </c:multiLvlStrCache>
            </c:multiLvlStrRef>
          </c:cat>
          <c:val>
            <c:numRef>
              <c:f>Sheet2!$C$4:$S$4</c:f>
              <c:numCache>
                <c:formatCode>0</c:formatCode>
                <c:ptCount val="17"/>
                <c:pt idx="0">
                  <c:v>15</c:v>
                </c:pt>
                <c:pt idx="1">
                  <c:v>14</c:v>
                </c:pt>
                <c:pt idx="3">
                  <c:v>12</c:v>
                </c:pt>
                <c:pt idx="4">
                  <c:v>8</c:v>
                </c:pt>
                <c:pt idx="6">
                  <c:v>10</c:v>
                </c:pt>
                <c:pt idx="7">
                  <c:v>13</c:v>
                </c:pt>
                <c:pt idx="9">
                  <c:v>24</c:v>
                </c:pt>
                <c:pt idx="10">
                  <c:v>21</c:v>
                </c:pt>
                <c:pt idx="12">
                  <c:v>19</c:v>
                </c:pt>
                <c:pt idx="13">
                  <c:v>20</c:v>
                </c:pt>
                <c:pt idx="15">
                  <c:v>10</c:v>
                </c:pt>
                <c:pt idx="16">
                  <c:v>9</c:v>
                </c:pt>
              </c:numCache>
            </c:numRef>
          </c:val>
        </c:ser>
        <c:ser>
          <c:idx val="1"/>
          <c:order val="3"/>
          <c:tx>
            <c:strRef>
              <c:f>Sheet2!$A$3:$B$3</c:f>
              <c:strCache>
                <c:ptCount val="1"/>
                <c:pt idx="0">
                  <c:v>Not at all easy</c:v>
                </c:pt>
              </c:strCache>
            </c:strRef>
          </c:tx>
          <c:spPr>
            <a:solidFill>
              <a:schemeClr val="accent5">
                <a:lumMod val="50000"/>
              </a:schemeClr>
            </a:solidFill>
          </c:spPr>
          <c:invertIfNegative val="0"/>
          <c:dLbls>
            <c:txPr>
              <a:bodyPr/>
              <a:lstStyle/>
              <a:p>
                <a:pPr>
                  <a:defRPr sz="600">
                    <a:solidFill>
                      <a:schemeClr val="bg1"/>
                    </a:solidFill>
                  </a:defRPr>
                </a:pPr>
                <a:endParaRPr lang="en-US"/>
              </a:p>
            </c:txPr>
            <c:showLegendKey val="0"/>
            <c:showVal val="1"/>
            <c:showCatName val="0"/>
            <c:showSerName val="0"/>
            <c:showPercent val="0"/>
            <c:showBubbleSize val="0"/>
            <c:showLeaderLines val="0"/>
          </c:dLbls>
          <c:cat>
            <c:multiLvlStrRef>
              <c:f>Sheet2!$C$1:$S$2</c:f>
              <c:multiLvlStrCache>
                <c:ptCount val="17"/>
                <c:lvl>
                  <c:pt idx="0">
                    <c:v>2014-15</c:v>
                  </c:pt>
                  <c:pt idx="1">
                    <c:v>2015-16</c:v>
                  </c:pt>
                  <c:pt idx="3">
                    <c:v>2014-15</c:v>
                  </c:pt>
                  <c:pt idx="4">
                    <c:v>2015-16</c:v>
                  </c:pt>
                  <c:pt idx="6">
                    <c:v>2014-15</c:v>
                  </c:pt>
                  <c:pt idx="7">
                    <c:v>2015-16</c:v>
                  </c:pt>
                  <c:pt idx="9">
                    <c:v>2014-15</c:v>
                  </c:pt>
                  <c:pt idx="10">
                    <c:v>2015-16</c:v>
                  </c:pt>
                  <c:pt idx="12">
                    <c:v>2014-15</c:v>
                  </c:pt>
                  <c:pt idx="13">
                    <c:v>2015-16</c:v>
                  </c:pt>
                  <c:pt idx="15">
                    <c:v>2014-15</c:v>
                  </c:pt>
                  <c:pt idx="16">
                    <c:v>2015-16</c:v>
                  </c:pt>
                </c:lvl>
                <c:lvl>
                  <c:pt idx="0">
                    <c:v>SDO Total</c:v>
                  </c:pt>
                  <c:pt idx="3">
                    <c:v>Citizenship Services</c:v>
                  </c:pt>
                  <c:pt idx="6">
                    <c:v>Passports Services</c:v>
                  </c:pt>
                  <c:pt idx="9">
                    <c:v>Charities Services</c:v>
                  </c:pt>
                  <c:pt idx="12">
                    <c:v>Community Operation Services</c:v>
                  </c:pt>
                  <c:pt idx="15">
                    <c:v>BDM Services</c:v>
                  </c:pt>
                </c:lvl>
              </c:multiLvlStrCache>
            </c:multiLvlStrRef>
          </c:cat>
          <c:val>
            <c:numRef>
              <c:f>Sheet2!$C$3:$S$3</c:f>
              <c:numCache>
                <c:formatCode>0</c:formatCode>
                <c:ptCount val="17"/>
                <c:pt idx="0">
                  <c:v>5</c:v>
                </c:pt>
                <c:pt idx="1">
                  <c:v>6</c:v>
                </c:pt>
                <c:pt idx="3">
                  <c:v>2</c:v>
                </c:pt>
                <c:pt idx="4">
                  <c:v>2</c:v>
                </c:pt>
                <c:pt idx="6">
                  <c:v>3</c:v>
                </c:pt>
                <c:pt idx="7">
                  <c:v>2</c:v>
                </c:pt>
                <c:pt idx="9">
                  <c:v>10</c:v>
                </c:pt>
                <c:pt idx="10">
                  <c:v>11</c:v>
                </c:pt>
                <c:pt idx="12">
                  <c:v>6</c:v>
                </c:pt>
                <c:pt idx="13">
                  <c:v>10</c:v>
                </c:pt>
                <c:pt idx="15">
                  <c:v>4</c:v>
                </c:pt>
                <c:pt idx="16">
                  <c:v>4</c:v>
                </c:pt>
              </c:numCache>
            </c:numRef>
          </c:val>
        </c:ser>
        <c:dLbls>
          <c:showLegendKey val="0"/>
          <c:showVal val="0"/>
          <c:showCatName val="0"/>
          <c:showSerName val="0"/>
          <c:showPercent val="0"/>
          <c:showBubbleSize val="0"/>
        </c:dLbls>
        <c:gapWidth val="30"/>
        <c:overlap val="100"/>
        <c:axId val="81629568"/>
        <c:axId val="81632256"/>
      </c:barChart>
      <c:catAx>
        <c:axId val="81629568"/>
        <c:scaling>
          <c:orientation val="minMax"/>
        </c:scaling>
        <c:delete val="0"/>
        <c:axPos val="b"/>
        <c:majorTickMark val="none"/>
        <c:minorTickMark val="none"/>
        <c:tickLblPos val="nextTo"/>
        <c:txPr>
          <a:bodyPr rot="0" vert="horz" anchor="t" anchorCtr="0"/>
          <a:lstStyle/>
          <a:p>
            <a:pPr>
              <a:defRPr sz="600"/>
            </a:pPr>
            <a:endParaRPr lang="en-US"/>
          </a:p>
        </c:txPr>
        <c:crossAx val="81632256"/>
        <c:crosses val="autoZero"/>
        <c:auto val="1"/>
        <c:lblAlgn val="ctr"/>
        <c:lblOffset val="100"/>
        <c:noMultiLvlLbl val="0"/>
      </c:catAx>
      <c:valAx>
        <c:axId val="81632256"/>
        <c:scaling>
          <c:orientation val="minMax"/>
          <c:max val="100"/>
        </c:scaling>
        <c:delete val="0"/>
        <c:axPos val="l"/>
        <c:majorGridlines/>
        <c:numFmt formatCode="General" sourceLinked="1"/>
        <c:majorTickMark val="none"/>
        <c:minorTickMark val="none"/>
        <c:tickLblPos val="nextTo"/>
        <c:spPr>
          <a:ln w="9525">
            <a:noFill/>
          </a:ln>
        </c:spPr>
        <c:txPr>
          <a:bodyPr/>
          <a:lstStyle/>
          <a:p>
            <a:pPr>
              <a:defRPr sz="700"/>
            </a:pPr>
            <a:endParaRPr lang="en-US"/>
          </a:p>
        </c:txPr>
        <c:crossAx val="81629568"/>
        <c:crossesAt val="1"/>
        <c:crossBetween val="between"/>
        <c:majorUnit val="25"/>
      </c:valAx>
    </c:plotArea>
    <c:legend>
      <c:legendPos val="b"/>
      <c:legendEntry>
        <c:idx val="0"/>
        <c:delete val="1"/>
      </c:legendEntry>
      <c:layout/>
      <c:overlay val="0"/>
      <c:txPr>
        <a:bodyPr/>
        <a:lstStyle/>
        <a:p>
          <a:pPr>
            <a:defRPr sz="700" b="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99A98-4CD7-4F95-9DBD-A6B65600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Affairs briefing</Template>
  <TotalTime>5</TotalTime>
  <Pages>8</Pages>
  <Words>1206</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Harkess</dc:creator>
  <cp:lastModifiedBy>Thida Seng</cp:lastModifiedBy>
  <cp:revision>5</cp:revision>
  <cp:lastPrinted>2017-03-21T01:37:00Z</cp:lastPrinted>
  <dcterms:created xsi:type="dcterms:W3CDTF">2017-03-21T01:35:00Z</dcterms:created>
  <dcterms:modified xsi:type="dcterms:W3CDTF">2017-03-21T01:39:00Z</dcterms:modified>
</cp:coreProperties>
</file>