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B97" w:rsidRPr="00AF4719" w:rsidRDefault="00B62B97" w:rsidP="00AF4719">
      <w:pPr>
        <w:jc w:val="center"/>
        <w:rPr>
          <w:b/>
          <w:sz w:val="32"/>
          <w:szCs w:val="32"/>
        </w:rPr>
      </w:pPr>
      <w:bookmarkStart w:id="0" w:name="_Toc405792988"/>
      <w:bookmarkStart w:id="1" w:name="_Toc405793221"/>
      <w:bookmarkStart w:id="2" w:name="_GoBack"/>
      <w:bookmarkEnd w:id="2"/>
      <w:r w:rsidRPr="00AF4719">
        <w:rPr>
          <w:b/>
          <w:sz w:val="32"/>
          <w:szCs w:val="32"/>
        </w:rPr>
        <w:t>Regulatory Impact Statement</w:t>
      </w:r>
    </w:p>
    <w:p w:rsidR="00B62B97" w:rsidRPr="00AF4719" w:rsidRDefault="00B62B97" w:rsidP="00E97F4E">
      <w:pPr>
        <w:jc w:val="center"/>
        <w:rPr>
          <w:b/>
          <w:sz w:val="32"/>
          <w:szCs w:val="32"/>
        </w:rPr>
      </w:pPr>
      <w:r w:rsidRPr="00AF4719">
        <w:rPr>
          <w:b/>
          <w:sz w:val="32"/>
          <w:szCs w:val="32"/>
        </w:rPr>
        <w:t xml:space="preserve">Problem Gambling Levy </w:t>
      </w:r>
      <w:r w:rsidR="00A411C3">
        <w:rPr>
          <w:b/>
          <w:sz w:val="32"/>
          <w:szCs w:val="32"/>
        </w:rPr>
        <w:t xml:space="preserve">Regulations </w:t>
      </w:r>
      <w:r w:rsidRPr="00AF4719">
        <w:rPr>
          <w:b/>
          <w:sz w:val="32"/>
          <w:szCs w:val="32"/>
        </w:rPr>
        <w:t>for 20</w:t>
      </w:r>
      <w:r w:rsidR="000163CE">
        <w:rPr>
          <w:b/>
          <w:sz w:val="32"/>
          <w:szCs w:val="32"/>
        </w:rPr>
        <w:t>16/17</w:t>
      </w:r>
      <w:r w:rsidR="001E2FD3">
        <w:rPr>
          <w:b/>
          <w:sz w:val="32"/>
          <w:szCs w:val="32"/>
        </w:rPr>
        <w:t xml:space="preserve"> </w:t>
      </w:r>
      <w:r w:rsidRPr="00AF4719">
        <w:rPr>
          <w:b/>
          <w:sz w:val="32"/>
          <w:szCs w:val="32"/>
        </w:rPr>
        <w:t>to 20</w:t>
      </w:r>
      <w:r w:rsidR="000163CE">
        <w:rPr>
          <w:b/>
          <w:sz w:val="32"/>
          <w:szCs w:val="32"/>
        </w:rPr>
        <w:t>18/19</w:t>
      </w:r>
    </w:p>
    <w:p w:rsidR="00B62B97" w:rsidRPr="00174FE4" w:rsidRDefault="00B62B97" w:rsidP="00174FE4">
      <w:pPr>
        <w:pStyle w:val="Heading1"/>
        <w:spacing w:after="0"/>
        <w:jc w:val="center"/>
        <w:rPr>
          <w:sz w:val="32"/>
          <w:szCs w:val="32"/>
        </w:rPr>
      </w:pPr>
    </w:p>
    <w:p w:rsidR="00C86248" w:rsidRPr="006B1521" w:rsidRDefault="009F2D15" w:rsidP="00E97F4E">
      <w:pPr>
        <w:pStyle w:val="Heading1"/>
        <w:spacing w:after="0"/>
        <w:rPr>
          <w:sz w:val="32"/>
          <w:szCs w:val="32"/>
        </w:rPr>
      </w:pPr>
      <w:bookmarkStart w:id="3" w:name="_Toc440029212"/>
      <w:r w:rsidRPr="006B1521">
        <w:rPr>
          <w:sz w:val="32"/>
          <w:szCs w:val="32"/>
        </w:rPr>
        <w:t>Agency Disclosure Statement</w:t>
      </w:r>
      <w:bookmarkEnd w:id="0"/>
      <w:bookmarkEnd w:id="1"/>
      <w:bookmarkEnd w:id="3"/>
    </w:p>
    <w:p w:rsidR="009F2D15" w:rsidRPr="00AF4719" w:rsidRDefault="009F2D15" w:rsidP="00E97F4E">
      <w:pPr>
        <w:spacing w:before="240" w:after="120"/>
        <w:rPr>
          <w:b/>
        </w:rPr>
      </w:pPr>
      <w:bookmarkStart w:id="4" w:name="_Toc260730915"/>
      <w:r w:rsidRPr="00AF4719">
        <w:rPr>
          <w:b/>
        </w:rPr>
        <w:t>Role</w:t>
      </w:r>
      <w:r w:rsidR="00EC431A">
        <w:rPr>
          <w:b/>
        </w:rPr>
        <w:t>s</w:t>
      </w:r>
      <w:r w:rsidRPr="00AF4719">
        <w:rPr>
          <w:b/>
        </w:rPr>
        <w:t xml:space="preserve"> of </w:t>
      </w:r>
      <w:r w:rsidR="00EC431A">
        <w:rPr>
          <w:b/>
        </w:rPr>
        <w:t xml:space="preserve">the </w:t>
      </w:r>
      <w:r w:rsidR="006335E4" w:rsidRPr="00AF4719">
        <w:rPr>
          <w:b/>
        </w:rPr>
        <w:t xml:space="preserve">Ministry of Health </w:t>
      </w:r>
      <w:r w:rsidR="006335E4">
        <w:rPr>
          <w:b/>
        </w:rPr>
        <w:t xml:space="preserve">and </w:t>
      </w:r>
      <w:r w:rsidR="00C64B5B" w:rsidRPr="00AF4719">
        <w:rPr>
          <w:b/>
        </w:rPr>
        <w:t>Department of Internal Affairs</w:t>
      </w:r>
      <w:bookmarkEnd w:id="4"/>
    </w:p>
    <w:p w:rsidR="000E616D" w:rsidRDefault="009F2D15" w:rsidP="005D6350">
      <w:pPr>
        <w:rPr>
          <w:sz w:val="22"/>
          <w:szCs w:val="22"/>
        </w:rPr>
      </w:pPr>
      <w:r w:rsidRPr="00732E34">
        <w:rPr>
          <w:sz w:val="22"/>
          <w:szCs w:val="22"/>
        </w:rPr>
        <w:t xml:space="preserve">The </w:t>
      </w:r>
      <w:r w:rsidR="006335E4" w:rsidRPr="00732E34">
        <w:rPr>
          <w:sz w:val="22"/>
          <w:szCs w:val="22"/>
        </w:rPr>
        <w:t xml:space="preserve">Ministry of Health and the </w:t>
      </w:r>
      <w:r w:rsidR="00C64B5B" w:rsidRPr="00732E34">
        <w:rPr>
          <w:sz w:val="22"/>
          <w:szCs w:val="22"/>
        </w:rPr>
        <w:t xml:space="preserve">Department of Internal Affairs </w:t>
      </w:r>
      <w:r w:rsidRPr="00732E34">
        <w:rPr>
          <w:sz w:val="22"/>
          <w:szCs w:val="22"/>
        </w:rPr>
        <w:t>have prepared this Regu</w:t>
      </w:r>
      <w:r w:rsidR="00732E34">
        <w:rPr>
          <w:sz w:val="22"/>
          <w:szCs w:val="22"/>
        </w:rPr>
        <w:t xml:space="preserve">latory Impact Statement on the </w:t>
      </w:r>
      <w:r w:rsidR="000A19FA">
        <w:rPr>
          <w:sz w:val="22"/>
          <w:szCs w:val="22"/>
        </w:rPr>
        <w:t>p</w:t>
      </w:r>
      <w:r w:rsidR="00732E34">
        <w:rPr>
          <w:sz w:val="22"/>
          <w:szCs w:val="22"/>
        </w:rPr>
        <w:t xml:space="preserve">roblem </w:t>
      </w:r>
      <w:r w:rsidR="000A19FA">
        <w:rPr>
          <w:sz w:val="22"/>
          <w:szCs w:val="22"/>
        </w:rPr>
        <w:t>g</w:t>
      </w:r>
      <w:r w:rsidR="00732E34">
        <w:rPr>
          <w:sz w:val="22"/>
          <w:szCs w:val="22"/>
        </w:rPr>
        <w:t xml:space="preserve">ambling </w:t>
      </w:r>
      <w:r w:rsidR="000A19FA">
        <w:rPr>
          <w:sz w:val="22"/>
          <w:szCs w:val="22"/>
        </w:rPr>
        <w:t>l</w:t>
      </w:r>
      <w:r w:rsidRPr="00732E34">
        <w:rPr>
          <w:sz w:val="22"/>
          <w:szCs w:val="22"/>
        </w:rPr>
        <w:t>evy</w:t>
      </w:r>
      <w:r w:rsidR="00732E34">
        <w:rPr>
          <w:sz w:val="22"/>
          <w:szCs w:val="22"/>
        </w:rPr>
        <w:t xml:space="preserve"> </w:t>
      </w:r>
      <w:r w:rsidR="00A411C3">
        <w:rPr>
          <w:sz w:val="22"/>
          <w:szCs w:val="22"/>
        </w:rPr>
        <w:t xml:space="preserve">regulations </w:t>
      </w:r>
      <w:r w:rsidR="00732E34">
        <w:rPr>
          <w:sz w:val="22"/>
          <w:szCs w:val="22"/>
        </w:rPr>
        <w:t>for 20</w:t>
      </w:r>
      <w:r w:rsidR="000163CE">
        <w:rPr>
          <w:sz w:val="22"/>
          <w:szCs w:val="22"/>
        </w:rPr>
        <w:t xml:space="preserve">16/17 </w:t>
      </w:r>
      <w:r w:rsidR="00732E34">
        <w:rPr>
          <w:sz w:val="22"/>
          <w:szCs w:val="22"/>
        </w:rPr>
        <w:t>to 20</w:t>
      </w:r>
      <w:r w:rsidR="000163CE">
        <w:rPr>
          <w:sz w:val="22"/>
          <w:szCs w:val="22"/>
        </w:rPr>
        <w:t>18/19</w:t>
      </w:r>
      <w:r w:rsidRPr="00732E34">
        <w:rPr>
          <w:sz w:val="22"/>
          <w:szCs w:val="22"/>
        </w:rPr>
        <w:t>.</w:t>
      </w:r>
      <w:r w:rsidR="009C10B5">
        <w:rPr>
          <w:sz w:val="22"/>
          <w:szCs w:val="22"/>
        </w:rPr>
        <w:t xml:space="preserve"> </w:t>
      </w:r>
      <w:r w:rsidR="000E616D">
        <w:rPr>
          <w:sz w:val="22"/>
          <w:szCs w:val="22"/>
        </w:rPr>
        <w:t xml:space="preserve"> </w:t>
      </w:r>
    </w:p>
    <w:p w:rsidR="000E616D" w:rsidRDefault="000E616D" w:rsidP="005D6350">
      <w:pPr>
        <w:rPr>
          <w:sz w:val="22"/>
          <w:szCs w:val="22"/>
        </w:rPr>
      </w:pPr>
    </w:p>
    <w:p w:rsidR="000E616D" w:rsidRDefault="006335E4" w:rsidP="005D6350">
      <w:pPr>
        <w:rPr>
          <w:sz w:val="22"/>
          <w:szCs w:val="22"/>
        </w:rPr>
      </w:pPr>
      <w:r>
        <w:rPr>
          <w:sz w:val="22"/>
          <w:szCs w:val="22"/>
        </w:rPr>
        <w:t>The Ministry</w:t>
      </w:r>
      <w:r w:rsidRPr="00732E34">
        <w:rPr>
          <w:sz w:val="22"/>
          <w:szCs w:val="22"/>
        </w:rPr>
        <w:t xml:space="preserve"> is responsible for an integrated problem gambling strategy focused on public health</w:t>
      </w:r>
      <w:r w:rsidR="000E616D">
        <w:rPr>
          <w:sz w:val="22"/>
          <w:szCs w:val="22"/>
        </w:rPr>
        <w:t>.  The Ministry’s Strategy to Prevent a</w:t>
      </w:r>
      <w:r w:rsidR="00AB3DC1">
        <w:rPr>
          <w:sz w:val="22"/>
          <w:szCs w:val="22"/>
        </w:rPr>
        <w:t>nd Minimise Gambling Harm is this</w:t>
      </w:r>
      <w:r w:rsidR="000E616D">
        <w:rPr>
          <w:sz w:val="22"/>
          <w:szCs w:val="22"/>
        </w:rPr>
        <w:t xml:space="preserve"> </w:t>
      </w:r>
      <w:r w:rsidR="000E616D" w:rsidRPr="00732E34">
        <w:rPr>
          <w:sz w:val="22"/>
          <w:szCs w:val="22"/>
        </w:rPr>
        <w:t>integrated problem gambling s</w:t>
      </w:r>
      <w:r w:rsidR="00AB3DC1">
        <w:rPr>
          <w:sz w:val="22"/>
          <w:szCs w:val="22"/>
        </w:rPr>
        <w:t>trategy</w:t>
      </w:r>
      <w:r w:rsidR="000E616D">
        <w:rPr>
          <w:sz w:val="22"/>
          <w:szCs w:val="22"/>
        </w:rPr>
        <w:t>.</w:t>
      </w:r>
      <w:r w:rsidR="000E616D" w:rsidRPr="000E616D">
        <w:rPr>
          <w:sz w:val="22"/>
          <w:szCs w:val="22"/>
        </w:rPr>
        <w:t xml:space="preserve"> </w:t>
      </w:r>
      <w:r w:rsidR="000E616D">
        <w:rPr>
          <w:sz w:val="22"/>
          <w:szCs w:val="22"/>
        </w:rPr>
        <w:t xml:space="preserve"> The purpose of the problem gambling levy is to recover the cost of the Ministry’s Strategy.  </w:t>
      </w:r>
    </w:p>
    <w:p w:rsidR="000E616D" w:rsidRDefault="000E616D" w:rsidP="005D6350">
      <w:pPr>
        <w:rPr>
          <w:sz w:val="22"/>
          <w:szCs w:val="22"/>
        </w:rPr>
      </w:pPr>
    </w:p>
    <w:p w:rsidR="005D6350" w:rsidRPr="00732E34" w:rsidRDefault="005D6350" w:rsidP="005D6350">
      <w:pPr>
        <w:rPr>
          <w:sz w:val="22"/>
          <w:szCs w:val="22"/>
        </w:rPr>
      </w:pPr>
      <w:r w:rsidRPr="00732E34">
        <w:rPr>
          <w:sz w:val="22"/>
          <w:szCs w:val="22"/>
        </w:rPr>
        <w:t>The</w:t>
      </w:r>
      <w:r w:rsidR="00C75D6C">
        <w:rPr>
          <w:sz w:val="22"/>
          <w:szCs w:val="22"/>
        </w:rPr>
        <w:t xml:space="preserve"> Department </w:t>
      </w:r>
      <w:r w:rsidRPr="00732E34">
        <w:rPr>
          <w:sz w:val="22"/>
          <w:szCs w:val="22"/>
        </w:rPr>
        <w:t xml:space="preserve">is the primary regulator of the gambling sector, administers </w:t>
      </w:r>
      <w:r w:rsidR="00DC1CC9">
        <w:rPr>
          <w:sz w:val="22"/>
          <w:szCs w:val="22"/>
        </w:rPr>
        <w:t>relevant</w:t>
      </w:r>
      <w:r w:rsidRPr="00732E34">
        <w:rPr>
          <w:sz w:val="22"/>
          <w:szCs w:val="22"/>
        </w:rPr>
        <w:t xml:space="preserve"> legislation</w:t>
      </w:r>
      <w:r w:rsidR="00EB2ACD">
        <w:rPr>
          <w:sz w:val="22"/>
          <w:szCs w:val="22"/>
        </w:rPr>
        <w:t xml:space="preserve"> (including the problem gambling levy regulations)</w:t>
      </w:r>
      <w:r w:rsidRPr="00732E34">
        <w:rPr>
          <w:sz w:val="22"/>
          <w:szCs w:val="22"/>
        </w:rPr>
        <w:t xml:space="preserve"> and is the Government’s key policy advisor on gambling.</w:t>
      </w:r>
    </w:p>
    <w:p w:rsidR="0047358B" w:rsidRPr="00AF4719" w:rsidRDefault="004C17FB" w:rsidP="00AC5537">
      <w:pPr>
        <w:spacing w:before="240" w:after="120"/>
        <w:rPr>
          <w:b/>
        </w:rPr>
      </w:pPr>
      <w:bookmarkStart w:id="5" w:name="_Toc260730916"/>
      <w:r>
        <w:rPr>
          <w:b/>
        </w:rPr>
        <w:t>Nature and extent of the analyse</w:t>
      </w:r>
      <w:r w:rsidR="0047358B">
        <w:rPr>
          <w:b/>
        </w:rPr>
        <w:t>s undertaken</w:t>
      </w:r>
    </w:p>
    <w:p w:rsidR="002B43A6" w:rsidRDefault="00366CCE" w:rsidP="00E97F4E">
      <w:pPr>
        <w:rPr>
          <w:sz w:val="22"/>
          <w:szCs w:val="22"/>
        </w:rPr>
      </w:pPr>
      <w:r>
        <w:rPr>
          <w:sz w:val="22"/>
          <w:szCs w:val="22"/>
        </w:rPr>
        <w:t xml:space="preserve">Information </w:t>
      </w:r>
      <w:r w:rsidR="00617140">
        <w:rPr>
          <w:sz w:val="22"/>
          <w:szCs w:val="22"/>
        </w:rPr>
        <w:t>used in</w:t>
      </w:r>
      <w:r w:rsidR="00980278">
        <w:rPr>
          <w:sz w:val="22"/>
          <w:szCs w:val="22"/>
        </w:rPr>
        <w:t xml:space="preserve"> the analyses</w:t>
      </w:r>
      <w:r>
        <w:rPr>
          <w:sz w:val="22"/>
          <w:szCs w:val="22"/>
        </w:rPr>
        <w:t xml:space="preserve"> </w:t>
      </w:r>
      <w:r w:rsidR="002B43A6">
        <w:rPr>
          <w:sz w:val="22"/>
          <w:szCs w:val="22"/>
        </w:rPr>
        <w:t xml:space="preserve">included: </w:t>
      </w:r>
    </w:p>
    <w:p w:rsidR="0019106A" w:rsidRDefault="002B43A6" w:rsidP="0019106A">
      <w:pPr>
        <w:numPr>
          <w:ilvl w:val="0"/>
          <w:numId w:val="8"/>
        </w:numPr>
        <w:spacing w:before="120"/>
        <w:ind w:left="568" w:hanging="284"/>
        <w:rPr>
          <w:sz w:val="22"/>
          <w:szCs w:val="22"/>
        </w:rPr>
      </w:pPr>
      <w:r>
        <w:rPr>
          <w:sz w:val="22"/>
          <w:szCs w:val="22"/>
        </w:rPr>
        <w:t>research on participation in</w:t>
      </w:r>
      <w:r w:rsidR="0071612D">
        <w:rPr>
          <w:sz w:val="22"/>
          <w:szCs w:val="22"/>
        </w:rPr>
        <w:t xml:space="preserve">, and the </w:t>
      </w:r>
      <w:r w:rsidR="00D71A8D">
        <w:rPr>
          <w:sz w:val="22"/>
          <w:szCs w:val="22"/>
        </w:rPr>
        <w:t>impacts of</w:t>
      </w:r>
      <w:r w:rsidR="0071612D">
        <w:rPr>
          <w:sz w:val="22"/>
          <w:szCs w:val="22"/>
        </w:rPr>
        <w:t>,</w:t>
      </w:r>
      <w:r>
        <w:rPr>
          <w:sz w:val="22"/>
          <w:szCs w:val="22"/>
        </w:rPr>
        <w:t xml:space="preserve"> </w:t>
      </w:r>
      <w:r w:rsidR="00366CCE">
        <w:rPr>
          <w:sz w:val="22"/>
          <w:szCs w:val="22"/>
        </w:rPr>
        <w:t xml:space="preserve">various forms of </w:t>
      </w:r>
      <w:r w:rsidR="00223EF5">
        <w:rPr>
          <w:sz w:val="22"/>
          <w:szCs w:val="22"/>
        </w:rPr>
        <w:t>gambling</w:t>
      </w:r>
    </w:p>
    <w:p w:rsidR="00366CCE" w:rsidRDefault="00E90A55" w:rsidP="0019106A">
      <w:pPr>
        <w:numPr>
          <w:ilvl w:val="0"/>
          <w:numId w:val="8"/>
        </w:numPr>
        <w:spacing w:before="120"/>
        <w:ind w:left="568" w:hanging="284"/>
        <w:rPr>
          <w:sz w:val="22"/>
          <w:szCs w:val="22"/>
        </w:rPr>
      </w:pPr>
      <w:r>
        <w:rPr>
          <w:sz w:val="22"/>
          <w:szCs w:val="22"/>
        </w:rPr>
        <w:t>research into, and</w:t>
      </w:r>
      <w:r w:rsidRPr="0071612D">
        <w:rPr>
          <w:sz w:val="22"/>
          <w:szCs w:val="22"/>
        </w:rPr>
        <w:t xml:space="preserve"> evaluations of</w:t>
      </w:r>
      <w:r>
        <w:rPr>
          <w:sz w:val="22"/>
          <w:szCs w:val="22"/>
        </w:rPr>
        <w:t>,</w:t>
      </w:r>
      <w:r w:rsidRPr="0071612D">
        <w:rPr>
          <w:sz w:val="22"/>
          <w:szCs w:val="22"/>
        </w:rPr>
        <w:t xml:space="preserve"> the effectiveness of </w:t>
      </w:r>
      <w:r>
        <w:rPr>
          <w:sz w:val="22"/>
          <w:szCs w:val="22"/>
        </w:rPr>
        <w:t xml:space="preserve">aspects of </w:t>
      </w:r>
      <w:r w:rsidRPr="0071612D">
        <w:rPr>
          <w:sz w:val="22"/>
          <w:szCs w:val="22"/>
        </w:rPr>
        <w:t>the strategy</w:t>
      </w:r>
    </w:p>
    <w:p w:rsidR="0019106A" w:rsidRDefault="00E90A55" w:rsidP="0019106A">
      <w:pPr>
        <w:numPr>
          <w:ilvl w:val="0"/>
          <w:numId w:val="8"/>
        </w:numPr>
        <w:spacing w:before="120"/>
        <w:ind w:left="568" w:hanging="284"/>
        <w:rPr>
          <w:sz w:val="22"/>
          <w:szCs w:val="22"/>
        </w:rPr>
      </w:pPr>
      <w:r>
        <w:rPr>
          <w:sz w:val="22"/>
          <w:szCs w:val="22"/>
        </w:rPr>
        <w:t>problem gambling service user data</w:t>
      </w:r>
    </w:p>
    <w:p w:rsidR="0019106A" w:rsidRDefault="00E90A55" w:rsidP="0019106A">
      <w:pPr>
        <w:numPr>
          <w:ilvl w:val="0"/>
          <w:numId w:val="8"/>
        </w:numPr>
        <w:spacing w:before="120"/>
        <w:ind w:left="568" w:hanging="284"/>
        <w:rPr>
          <w:sz w:val="22"/>
          <w:szCs w:val="22"/>
        </w:rPr>
      </w:pPr>
      <w:r w:rsidRPr="00E90A55">
        <w:rPr>
          <w:sz w:val="22"/>
          <w:szCs w:val="22"/>
        </w:rPr>
        <w:t>data on levy under-recovery or over-recovery by sector</w:t>
      </w:r>
    </w:p>
    <w:p w:rsidR="00A20C09" w:rsidRPr="00E90A55" w:rsidRDefault="00366CCE" w:rsidP="0019106A">
      <w:pPr>
        <w:numPr>
          <w:ilvl w:val="0"/>
          <w:numId w:val="8"/>
        </w:numPr>
        <w:spacing w:before="120"/>
        <w:ind w:left="568" w:hanging="284"/>
        <w:rPr>
          <w:sz w:val="22"/>
          <w:szCs w:val="22"/>
        </w:rPr>
      </w:pPr>
      <w:r w:rsidRPr="00E90A55">
        <w:rPr>
          <w:sz w:val="22"/>
          <w:szCs w:val="22"/>
        </w:rPr>
        <w:t xml:space="preserve">data on </w:t>
      </w:r>
      <w:r w:rsidR="002B43A6" w:rsidRPr="00E90A55">
        <w:rPr>
          <w:sz w:val="22"/>
          <w:szCs w:val="22"/>
        </w:rPr>
        <w:t>player expenditure</w:t>
      </w:r>
      <w:r w:rsidR="00AB3DC1">
        <w:rPr>
          <w:sz w:val="22"/>
          <w:szCs w:val="22"/>
        </w:rPr>
        <w:t>,</w:t>
      </w:r>
      <w:r w:rsidR="00E90A55">
        <w:rPr>
          <w:sz w:val="22"/>
          <w:szCs w:val="22"/>
        </w:rPr>
        <w:t xml:space="preserve"> and</w:t>
      </w:r>
      <w:r w:rsidR="002B43A6" w:rsidRPr="00E90A55">
        <w:rPr>
          <w:sz w:val="22"/>
          <w:szCs w:val="22"/>
        </w:rPr>
        <w:t xml:space="preserve"> forecasts of future </w:t>
      </w:r>
      <w:r w:rsidRPr="00E90A55">
        <w:rPr>
          <w:sz w:val="22"/>
          <w:szCs w:val="22"/>
        </w:rPr>
        <w:t xml:space="preserve">player </w:t>
      </w:r>
      <w:r w:rsidR="002B43A6" w:rsidRPr="00E90A55">
        <w:rPr>
          <w:sz w:val="22"/>
          <w:szCs w:val="22"/>
        </w:rPr>
        <w:t>expenditure</w:t>
      </w:r>
    </w:p>
    <w:p w:rsidR="00223EF5" w:rsidRPr="00E90A55" w:rsidRDefault="003C5CE2" w:rsidP="0019106A">
      <w:pPr>
        <w:numPr>
          <w:ilvl w:val="0"/>
          <w:numId w:val="8"/>
        </w:numPr>
        <w:spacing w:before="120"/>
        <w:ind w:left="568" w:hanging="284"/>
        <w:rPr>
          <w:sz w:val="22"/>
          <w:szCs w:val="22"/>
        </w:rPr>
      </w:pPr>
      <w:r>
        <w:rPr>
          <w:sz w:val="22"/>
          <w:szCs w:val="22"/>
        </w:rPr>
        <w:t>the</w:t>
      </w:r>
      <w:r w:rsidR="00223EF5" w:rsidRPr="00E90A55">
        <w:rPr>
          <w:sz w:val="22"/>
          <w:szCs w:val="22"/>
        </w:rPr>
        <w:t xml:space="preserve"> </w:t>
      </w:r>
      <w:r>
        <w:rPr>
          <w:sz w:val="22"/>
          <w:szCs w:val="22"/>
        </w:rPr>
        <w:t xml:space="preserve">2015 Needs Assessment included as one component of </w:t>
      </w:r>
      <w:r w:rsidR="00223EF5" w:rsidRPr="00E90A55">
        <w:rPr>
          <w:sz w:val="22"/>
          <w:szCs w:val="22"/>
        </w:rPr>
        <w:t xml:space="preserve">the Ministry’s consultation </w:t>
      </w:r>
      <w:r>
        <w:rPr>
          <w:sz w:val="22"/>
          <w:szCs w:val="22"/>
        </w:rPr>
        <w:t xml:space="preserve">document </w:t>
      </w:r>
      <w:r w:rsidR="001C3669">
        <w:rPr>
          <w:sz w:val="22"/>
          <w:szCs w:val="22"/>
        </w:rPr>
        <w:t>on the Strategy</w:t>
      </w:r>
      <w:r w:rsidR="0071612D" w:rsidRPr="00E90A55">
        <w:rPr>
          <w:sz w:val="22"/>
          <w:szCs w:val="22"/>
        </w:rPr>
        <w:t>, an</w:t>
      </w:r>
      <w:r w:rsidR="00223EF5" w:rsidRPr="00E90A55">
        <w:rPr>
          <w:sz w:val="22"/>
          <w:szCs w:val="22"/>
        </w:rPr>
        <w:t xml:space="preserve"> </w:t>
      </w:r>
      <w:r w:rsidR="0071612D" w:rsidRPr="00E90A55">
        <w:rPr>
          <w:sz w:val="22"/>
          <w:szCs w:val="22"/>
        </w:rPr>
        <w:t xml:space="preserve">independent </w:t>
      </w:r>
      <w:r w:rsidR="00223EF5" w:rsidRPr="00E90A55">
        <w:rPr>
          <w:sz w:val="22"/>
          <w:szCs w:val="22"/>
        </w:rPr>
        <w:t xml:space="preserve">report </w:t>
      </w:r>
      <w:r w:rsidR="00D338C2" w:rsidRPr="00E90A55">
        <w:rPr>
          <w:sz w:val="22"/>
          <w:szCs w:val="22"/>
        </w:rPr>
        <w:t>supporting</w:t>
      </w:r>
      <w:r w:rsidR="0071612D" w:rsidRPr="00E90A55">
        <w:rPr>
          <w:sz w:val="22"/>
          <w:szCs w:val="22"/>
        </w:rPr>
        <w:t xml:space="preserve"> that needs assessment</w:t>
      </w:r>
      <w:r w:rsidR="00223EF5" w:rsidRPr="00E90A55">
        <w:rPr>
          <w:sz w:val="22"/>
          <w:szCs w:val="22"/>
        </w:rPr>
        <w:t xml:space="preserve"> and </w:t>
      </w:r>
      <w:r w:rsidR="00A411C3" w:rsidRPr="00E90A55">
        <w:rPr>
          <w:sz w:val="22"/>
          <w:szCs w:val="22"/>
        </w:rPr>
        <w:t xml:space="preserve">previous </w:t>
      </w:r>
      <w:r w:rsidR="00223EF5" w:rsidRPr="00E90A55">
        <w:rPr>
          <w:sz w:val="22"/>
          <w:szCs w:val="22"/>
        </w:rPr>
        <w:t xml:space="preserve">similar </w:t>
      </w:r>
      <w:r w:rsidR="00D338C2" w:rsidRPr="00E90A55">
        <w:rPr>
          <w:sz w:val="22"/>
          <w:szCs w:val="22"/>
        </w:rPr>
        <w:t>report</w:t>
      </w:r>
      <w:r w:rsidR="00A411C3" w:rsidRPr="00E90A55">
        <w:rPr>
          <w:sz w:val="22"/>
          <w:szCs w:val="22"/>
        </w:rPr>
        <w:t>s</w:t>
      </w:r>
    </w:p>
    <w:p w:rsidR="00223EF5" w:rsidRDefault="00223EF5" w:rsidP="0019106A">
      <w:pPr>
        <w:numPr>
          <w:ilvl w:val="0"/>
          <w:numId w:val="8"/>
        </w:numPr>
        <w:spacing w:before="120"/>
        <w:ind w:left="568" w:hanging="284"/>
        <w:rPr>
          <w:sz w:val="22"/>
          <w:szCs w:val="22"/>
        </w:rPr>
      </w:pPr>
      <w:r>
        <w:rPr>
          <w:sz w:val="22"/>
          <w:szCs w:val="22"/>
        </w:rPr>
        <w:t>submissions to the Ministry’s consultation document</w:t>
      </w:r>
    </w:p>
    <w:p w:rsidR="00223EF5" w:rsidRPr="00B6199D" w:rsidRDefault="00B6199D" w:rsidP="0019106A">
      <w:pPr>
        <w:numPr>
          <w:ilvl w:val="0"/>
          <w:numId w:val="8"/>
        </w:numPr>
        <w:spacing w:before="120"/>
        <w:ind w:left="568" w:hanging="284"/>
        <w:rPr>
          <w:sz w:val="22"/>
          <w:szCs w:val="22"/>
        </w:rPr>
      </w:pPr>
      <w:r w:rsidRPr="00B6199D">
        <w:rPr>
          <w:sz w:val="22"/>
          <w:szCs w:val="22"/>
        </w:rPr>
        <w:t xml:space="preserve">independent </w:t>
      </w:r>
      <w:r w:rsidR="00223EF5" w:rsidRPr="00B6199D">
        <w:rPr>
          <w:sz w:val="22"/>
          <w:szCs w:val="22"/>
        </w:rPr>
        <w:t xml:space="preserve">advice prepared </w:t>
      </w:r>
      <w:r w:rsidRPr="00B6199D">
        <w:rPr>
          <w:sz w:val="22"/>
          <w:szCs w:val="22"/>
        </w:rPr>
        <w:t>for</w:t>
      </w:r>
      <w:r w:rsidR="00223EF5" w:rsidRPr="00B6199D">
        <w:rPr>
          <w:sz w:val="22"/>
          <w:szCs w:val="22"/>
        </w:rPr>
        <w:t xml:space="preserve"> the Gambling Commission</w:t>
      </w:r>
      <w:r w:rsidRPr="00B6199D">
        <w:rPr>
          <w:sz w:val="22"/>
          <w:szCs w:val="22"/>
        </w:rPr>
        <w:t>,</w:t>
      </w:r>
      <w:r w:rsidR="00223EF5" w:rsidRPr="00B6199D">
        <w:rPr>
          <w:sz w:val="22"/>
          <w:szCs w:val="22"/>
        </w:rPr>
        <w:t xml:space="preserve"> </w:t>
      </w:r>
      <w:r w:rsidR="0071612D" w:rsidRPr="00B6199D">
        <w:rPr>
          <w:sz w:val="22"/>
          <w:szCs w:val="22"/>
        </w:rPr>
        <w:t xml:space="preserve">submissions </w:t>
      </w:r>
      <w:r w:rsidR="00607615">
        <w:rPr>
          <w:sz w:val="22"/>
          <w:szCs w:val="22"/>
        </w:rPr>
        <w:t xml:space="preserve">made </w:t>
      </w:r>
      <w:r w:rsidR="0071612D" w:rsidRPr="00B6199D">
        <w:rPr>
          <w:sz w:val="22"/>
          <w:szCs w:val="22"/>
        </w:rPr>
        <w:t xml:space="preserve">at </w:t>
      </w:r>
      <w:r>
        <w:rPr>
          <w:sz w:val="22"/>
          <w:szCs w:val="22"/>
        </w:rPr>
        <w:t>its</w:t>
      </w:r>
      <w:r w:rsidR="0071612D" w:rsidRPr="00B6199D">
        <w:rPr>
          <w:sz w:val="22"/>
          <w:szCs w:val="22"/>
        </w:rPr>
        <w:t xml:space="preserve"> </w:t>
      </w:r>
      <w:r w:rsidR="00C9719D">
        <w:rPr>
          <w:sz w:val="22"/>
          <w:szCs w:val="22"/>
        </w:rPr>
        <w:t>consultation meeting</w:t>
      </w:r>
      <w:r w:rsidRPr="00B6199D">
        <w:rPr>
          <w:sz w:val="22"/>
          <w:szCs w:val="22"/>
        </w:rPr>
        <w:t xml:space="preserve"> and </w:t>
      </w:r>
      <w:r>
        <w:rPr>
          <w:sz w:val="22"/>
          <w:szCs w:val="22"/>
        </w:rPr>
        <w:t>its</w:t>
      </w:r>
      <w:r w:rsidR="00223EF5" w:rsidRPr="00B6199D">
        <w:rPr>
          <w:sz w:val="22"/>
          <w:szCs w:val="22"/>
        </w:rPr>
        <w:t xml:space="preserve"> recommendations</w:t>
      </w:r>
      <w:r w:rsidR="0019106A">
        <w:rPr>
          <w:sz w:val="22"/>
          <w:szCs w:val="22"/>
        </w:rPr>
        <w:t xml:space="preserve"> to the r</w:t>
      </w:r>
      <w:r>
        <w:rPr>
          <w:sz w:val="22"/>
          <w:szCs w:val="22"/>
        </w:rPr>
        <w:t>esponsible Ministers</w:t>
      </w:r>
      <w:r w:rsidR="000163CE">
        <w:rPr>
          <w:sz w:val="22"/>
          <w:szCs w:val="22"/>
        </w:rPr>
        <w:t>.</w:t>
      </w:r>
    </w:p>
    <w:p w:rsidR="00464496" w:rsidRDefault="00464496" w:rsidP="0019106A">
      <w:pPr>
        <w:rPr>
          <w:sz w:val="22"/>
          <w:szCs w:val="22"/>
        </w:rPr>
      </w:pPr>
    </w:p>
    <w:p w:rsidR="005E11BD" w:rsidRDefault="00980278" w:rsidP="00464496">
      <w:pPr>
        <w:keepLines/>
        <w:rPr>
          <w:sz w:val="22"/>
          <w:szCs w:val="22"/>
        </w:rPr>
      </w:pPr>
      <w:r>
        <w:rPr>
          <w:sz w:val="22"/>
          <w:szCs w:val="22"/>
        </w:rPr>
        <w:t xml:space="preserve">A key limitation </w:t>
      </w:r>
      <w:r w:rsidR="00A86553">
        <w:rPr>
          <w:sz w:val="22"/>
          <w:szCs w:val="22"/>
        </w:rPr>
        <w:t xml:space="preserve">of the analyses </w:t>
      </w:r>
      <w:r w:rsidR="0019106A">
        <w:rPr>
          <w:sz w:val="22"/>
          <w:szCs w:val="22"/>
        </w:rPr>
        <w:t xml:space="preserve">is the difficulty </w:t>
      </w:r>
      <w:r w:rsidR="00AB3DC1">
        <w:rPr>
          <w:sz w:val="22"/>
          <w:szCs w:val="22"/>
        </w:rPr>
        <w:t xml:space="preserve">accurately </w:t>
      </w:r>
      <w:r w:rsidR="0019106A">
        <w:rPr>
          <w:sz w:val="22"/>
          <w:szCs w:val="22"/>
        </w:rPr>
        <w:t>assess</w:t>
      </w:r>
      <w:r w:rsidR="00C9719D">
        <w:rPr>
          <w:sz w:val="22"/>
          <w:szCs w:val="22"/>
        </w:rPr>
        <w:t>ing the extent</w:t>
      </w:r>
      <w:r w:rsidR="0019106A">
        <w:rPr>
          <w:sz w:val="22"/>
          <w:szCs w:val="22"/>
        </w:rPr>
        <w:t xml:space="preserve"> </w:t>
      </w:r>
      <w:r w:rsidR="00AB3DC1">
        <w:rPr>
          <w:sz w:val="22"/>
          <w:szCs w:val="22"/>
        </w:rPr>
        <w:t xml:space="preserve">to which harm </w:t>
      </w:r>
      <w:r w:rsidR="00C9719D">
        <w:rPr>
          <w:sz w:val="22"/>
          <w:szCs w:val="22"/>
        </w:rPr>
        <w:t>is properly attributable</w:t>
      </w:r>
      <w:r w:rsidR="0019106A">
        <w:rPr>
          <w:sz w:val="22"/>
          <w:szCs w:val="22"/>
        </w:rPr>
        <w:t xml:space="preserve"> to each levy-paying gambling sector.</w:t>
      </w:r>
      <w:r w:rsidR="0019106A" w:rsidRPr="0019106A">
        <w:rPr>
          <w:sz w:val="22"/>
          <w:szCs w:val="22"/>
        </w:rPr>
        <w:t xml:space="preserve"> </w:t>
      </w:r>
      <w:r w:rsidR="0019106A">
        <w:rPr>
          <w:sz w:val="22"/>
          <w:szCs w:val="22"/>
        </w:rPr>
        <w:t xml:space="preserve"> Another key limitation </w:t>
      </w:r>
      <w:r>
        <w:rPr>
          <w:sz w:val="22"/>
          <w:szCs w:val="22"/>
        </w:rPr>
        <w:t>is the difficulty forecasting player expenditure on different forms of gambling more than three years into the future.</w:t>
      </w:r>
      <w:r w:rsidR="0019106A">
        <w:rPr>
          <w:sz w:val="22"/>
          <w:szCs w:val="22"/>
        </w:rPr>
        <w:t xml:space="preserve">  </w:t>
      </w:r>
    </w:p>
    <w:bookmarkEnd w:id="5"/>
    <w:p w:rsidR="0019106A" w:rsidRDefault="0019106A" w:rsidP="0019106A">
      <w:pPr>
        <w:rPr>
          <w:sz w:val="22"/>
          <w:szCs w:val="22"/>
        </w:rPr>
      </w:pPr>
    </w:p>
    <w:p w:rsidR="0019106A" w:rsidRDefault="0019106A" w:rsidP="0019106A">
      <w:pPr>
        <w:rPr>
          <w:sz w:val="22"/>
          <w:szCs w:val="22"/>
        </w:rPr>
      </w:pPr>
      <w:r>
        <w:rPr>
          <w:sz w:val="22"/>
          <w:szCs w:val="22"/>
        </w:rPr>
        <w:t xml:space="preserve">The Gambling Act 2003 shapes the number and scope of the options analysed, because it: </w:t>
      </w:r>
    </w:p>
    <w:p w:rsidR="0019106A" w:rsidRDefault="0019106A" w:rsidP="0019106A">
      <w:pPr>
        <w:numPr>
          <w:ilvl w:val="0"/>
          <w:numId w:val="8"/>
        </w:numPr>
        <w:spacing w:before="120"/>
        <w:ind w:left="568" w:hanging="284"/>
        <w:rPr>
          <w:sz w:val="22"/>
          <w:szCs w:val="22"/>
        </w:rPr>
      </w:pPr>
      <w:r>
        <w:rPr>
          <w:sz w:val="22"/>
          <w:szCs w:val="22"/>
        </w:rPr>
        <w:t xml:space="preserve">describes the </w:t>
      </w:r>
      <w:r w:rsidR="00C9719D">
        <w:rPr>
          <w:sz w:val="22"/>
          <w:szCs w:val="22"/>
        </w:rPr>
        <w:t xml:space="preserve">integrated problem gambling </w:t>
      </w:r>
      <w:r>
        <w:rPr>
          <w:sz w:val="22"/>
          <w:szCs w:val="22"/>
        </w:rPr>
        <w:t>strategy as ‘focused on public health’ [section</w:t>
      </w:r>
      <w:r w:rsidR="00C9719D">
        <w:rPr>
          <w:sz w:val="22"/>
          <w:szCs w:val="22"/>
        </w:rPr>
        <w:t> </w:t>
      </w:r>
      <w:r>
        <w:rPr>
          <w:sz w:val="22"/>
          <w:szCs w:val="22"/>
        </w:rPr>
        <w:t xml:space="preserve">317] </w:t>
      </w:r>
    </w:p>
    <w:p w:rsidR="0019106A" w:rsidRDefault="0019106A" w:rsidP="0019106A">
      <w:pPr>
        <w:numPr>
          <w:ilvl w:val="0"/>
          <w:numId w:val="8"/>
        </w:numPr>
        <w:spacing w:before="120"/>
        <w:ind w:left="568" w:hanging="284"/>
        <w:rPr>
          <w:sz w:val="22"/>
          <w:szCs w:val="22"/>
        </w:rPr>
      </w:pPr>
      <w:r>
        <w:rPr>
          <w:sz w:val="22"/>
          <w:szCs w:val="22"/>
        </w:rPr>
        <w:t>specifies four components that the strategy must include [section</w:t>
      </w:r>
      <w:r w:rsidR="00C9719D">
        <w:rPr>
          <w:sz w:val="22"/>
          <w:szCs w:val="22"/>
        </w:rPr>
        <w:t> </w:t>
      </w:r>
      <w:r>
        <w:rPr>
          <w:sz w:val="22"/>
          <w:szCs w:val="22"/>
        </w:rPr>
        <w:t xml:space="preserve">317(2)(a) to (d)] </w:t>
      </w:r>
    </w:p>
    <w:p w:rsidR="0019106A" w:rsidRDefault="0019106A" w:rsidP="0019106A">
      <w:pPr>
        <w:numPr>
          <w:ilvl w:val="0"/>
          <w:numId w:val="8"/>
        </w:numPr>
        <w:spacing w:before="120"/>
        <w:ind w:left="568" w:hanging="284"/>
        <w:rPr>
          <w:sz w:val="22"/>
          <w:szCs w:val="22"/>
        </w:rPr>
      </w:pPr>
      <w:r>
        <w:rPr>
          <w:sz w:val="22"/>
          <w:szCs w:val="22"/>
        </w:rPr>
        <w:t xml:space="preserve">details requirements for the process to develop the strategy </w:t>
      </w:r>
      <w:r w:rsidR="00C9719D">
        <w:rPr>
          <w:sz w:val="22"/>
          <w:szCs w:val="22"/>
        </w:rPr>
        <w:t xml:space="preserve">and the problem gambling levy </w:t>
      </w:r>
      <w:r>
        <w:rPr>
          <w:sz w:val="22"/>
          <w:szCs w:val="22"/>
        </w:rPr>
        <w:t>[section</w:t>
      </w:r>
      <w:r w:rsidR="00C9719D">
        <w:rPr>
          <w:sz w:val="22"/>
          <w:szCs w:val="22"/>
        </w:rPr>
        <w:t> </w:t>
      </w:r>
      <w:r>
        <w:rPr>
          <w:sz w:val="22"/>
          <w:szCs w:val="22"/>
        </w:rPr>
        <w:t xml:space="preserve">318] </w:t>
      </w:r>
    </w:p>
    <w:p w:rsidR="00C9719D" w:rsidRDefault="00C9719D" w:rsidP="00C9719D">
      <w:pPr>
        <w:numPr>
          <w:ilvl w:val="0"/>
          <w:numId w:val="8"/>
        </w:numPr>
        <w:spacing w:before="120"/>
        <w:ind w:left="568" w:hanging="284"/>
        <w:rPr>
          <w:sz w:val="22"/>
          <w:szCs w:val="22"/>
        </w:rPr>
      </w:pPr>
      <w:r>
        <w:rPr>
          <w:sz w:val="22"/>
          <w:szCs w:val="22"/>
        </w:rPr>
        <w:lastRenderedPageBreak/>
        <w:t xml:space="preserve">states that the purpose of the levy is to recover the cost of ‘developing, managing and delivering’ the strategy [section 319(2)] </w:t>
      </w:r>
    </w:p>
    <w:p w:rsidR="0019106A" w:rsidRDefault="0019106A" w:rsidP="0019106A">
      <w:pPr>
        <w:numPr>
          <w:ilvl w:val="0"/>
          <w:numId w:val="8"/>
        </w:numPr>
        <w:spacing w:before="120"/>
        <w:ind w:left="568" w:hanging="284"/>
        <w:rPr>
          <w:sz w:val="22"/>
          <w:szCs w:val="22"/>
        </w:rPr>
      </w:pPr>
      <w:r>
        <w:rPr>
          <w:sz w:val="22"/>
          <w:szCs w:val="22"/>
        </w:rPr>
        <w:t>includes a formula ‘to be used in estimating the proposed levy rates payable by gambling operators’ [section</w:t>
      </w:r>
      <w:r w:rsidR="00C9719D">
        <w:rPr>
          <w:sz w:val="22"/>
          <w:szCs w:val="22"/>
        </w:rPr>
        <w:t> </w:t>
      </w:r>
      <w:r>
        <w:rPr>
          <w:sz w:val="22"/>
          <w:szCs w:val="22"/>
        </w:rPr>
        <w:t xml:space="preserve">320(2)]. </w:t>
      </w:r>
    </w:p>
    <w:p w:rsidR="0019106A" w:rsidRDefault="0019106A" w:rsidP="0019106A">
      <w:pPr>
        <w:rPr>
          <w:sz w:val="22"/>
          <w:szCs w:val="22"/>
        </w:rPr>
      </w:pPr>
    </w:p>
    <w:p w:rsidR="0047358B" w:rsidRPr="00AF4719" w:rsidRDefault="00C03340" w:rsidP="0019106A">
      <w:pPr>
        <w:spacing w:before="240" w:after="120"/>
        <w:rPr>
          <w:b/>
        </w:rPr>
      </w:pPr>
      <w:r>
        <w:rPr>
          <w:b/>
        </w:rPr>
        <w:t>No e</w:t>
      </w:r>
      <w:r w:rsidR="0047358B">
        <w:rPr>
          <w:b/>
        </w:rPr>
        <w:t>ffects requiring a particularly strong case before regulation is considered</w:t>
      </w:r>
    </w:p>
    <w:p w:rsidR="00782873" w:rsidRDefault="009F2D15" w:rsidP="00935879">
      <w:pPr>
        <w:rPr>
          <w:sz w:val="22"/>
          <w:szCs w:val="22"/>
        </w:rPr>
      </w:pPr>
      <w:r w:rsidRPr="00AF4719">
        <w:rPr>
          <w:sz w:val="22"/>
          <w:szCs w:val="22"/>
        </w:rPr>
        <w:t xml:space="preserve">The options </w:t>
      </w:r>
      <w:r w:rsidR="00B53AC1">
        <w:rPr>
          <w:sz w:val="22"/>
          <w:szCs w:val="22"/>
        </w:rPr>
        <w:t xml:space="preserve">analysed </w:t>
      </w:r>
      <w:r w:rsidRPr="00AF4719">
        <w:rPr>
          <w:sz w:val="22"/>
          <w:szCs w:val="22"/>
        </w:rPr>
        <w:t xml:space="preserve">are </w:t>
      </w:r>
      <w:r w:rsidR="008A1488">
        <w:rPr>
          <w:sz w:val="22"/>
          <w:szCs w:val="22"/>
        </w:rPr>
        <w:t>unlikely</w:t>
      </w:r>
      <w:r w:rsidR="00974B93" w:rsidRPr="00AF4719">
        <w:rPr>
          <w:sz w:val="22"/>
          <w:szCs w:val="22"/>
        </w:rPr>
        <w:t xml:space="preserve"> to impair </w:t>
      </w:r>
      <w:r w:rsidR="00427254">
        <w:rPr>
          <w:sz w:val="22"/>
          <w:szCs w:val="22"/>
        </w:rPr>
        <w:t>private property rights or significantly impair</w:t>
      </w:r>
      <w:r w:rsidRPr="00AF4719">
        <w:rPr>
          <w:sz w:val="22"/>
          <w:szCs w:val="22"/>
        </w:rPr>
        <w:t xml:space="preserve"> market competition or the incentives on businesses to innovate and invest, and they do not override fundamental common law principles.</w:t>
      </w:r>
      <w:r w:rsidR="00ED3429">
        <w:rPr>
          <w:sz w:val="22"/>
          <w:szCs w:val="22"/>
        </w:rPr>
        <w:t xml:space="preserve"> </w:t>
      </w:r>
    </w:p>
    <w:p w:rsidR="0019106A" w:rsidRDefault="0019106A" w:rsidP="00935879">
      <w:pPr>
        <w:rPr>
          <w:sz w:val="22"/>
          <w:szCs w:val="22"/>
        </w:rPr>
      </w:pPr>
    </w:p>
    <w:p w:rsidR="0019106A" w:rsidRDefault="0019106A" w:rsidP="00935879">
      <w:pPr>
        <w:rPr>
          <w:sz w:val="22"/>
          <w:szCs w:val="22"/>
        </w:rPr>
      </w:pPr>
      <w:r>
        <w:rPr>
          <w:sz w:val="22"/>
          <w:szCs w:val="22"/>
        </w:rPr>
        <w:t>Because the Act emphasises harm prevention and minimisation, player expenditure and help-seeking data assist in determining each sector’s levy liability. This means that a given sector’s levy liability can increase or decrease even if the amount of the levy does not change. Such changes in levy liability are typically relatively minor in the context of changes in sector profit.</w:t>
      </w:r>
    </w:p>
    <w:tbl>
      <w:tblPr>
        <w:tblW w:w="0" w:type="auto"/>
        <w:tblLook w:val="04A0" w:firstRow="1" w:lastRow="0" w:firstColumn="1" w:lastColumn="0" w:noHBand="0" w:noVBand="1"/>
      </w:tblPr>
      <w:tblGrid>
        <w:gridCol w:w="4785"/>
        <w:gridCol w:w="4786"/>
      </w:tblGrid>
      <w:tr w:rsidR="008E0F3C" w:rsidRPr="008E0F3C" w:rsidTr="00630889">
        <w:tc>
          <w:tcPr>
            <w:tcW w:w="4785" w:type="dxa"/>
            <w:shd w:val="clear" w:color="auto" w:fill="auto"/>
          </w:tcPr>
          <w:p w:rsidR="00E90A55" w:rsidRPr="00630889" w:rsidRDefault="00E90A55" w:rsidP="00E90A55">
            <w:pPr>
              <w:rPr>
                <w:sz w:val="22"/>
                <w:szCs w:val="22"/>
              </w:rPr>
            </w:pPr>
          </w:p>
          <w:p w:rsidR="00E90A55" w:rsidRPr="00630889" w:rsidRDefault="00E90A55" w:rsidP="00E90A55">
            <w:pPr>
              <w:rPr>
                <w:sz w:val="22"/>
                <w:szCs w:val="22"/>
              </w:rPr>
            </w:pPr>
          </w:p>
          <w:p w:rsidR="00E90A55" w:rsidRPr="00630889" w:rsidRDefault="00E90A55" w:rsidP="00E90A55">
            <w:pPr>
              <w:rPr>
                <w:sz w:val="22"/>
                <w:szCs w:val="22"/>
              </w:rPr>
            </w:pPr>
          </w:p>
          <w:p w:rsidR="00E90A55" w:rsidRPr="00630889" w:rsidRDefault="00E90A55" w:rsidP="00E90A55">
            <w:pPr>
              <w:rPr>
                <w:sz w:val="22"/>
                <w:szCs w:val="22"/>
              </w:rPr>
            </w:pPr>
          </w:p>
          <w:p w:rsidR="008E0F3C" w:rsidRPr="00630889" w:rsidRDefault="008E0F3C" w:rsidP="00E90A55">
            <w:pPr>
              <w:rPr>
                <w:sz w:val="22"/>
                <w:szCs w:val="22"/>
              </w:rPr>
            </w:pPr>
          </w:p>
          <w:p w:rsidR="008E0F3C" w:rsidRPr="00630889" w:rsidRDefault="008E0F3C" w:rsidP="00E90A55">
            <w:pPr>
              <w:rPr>
                <w:sz w:val="22"/>
                <w:szCs w:val="22"/>
              </w:rPr>
            </w:pPr>
          </w:p>
          <w:p w:rsidR="00E90A55" w:rsidRPr="00630889" w:rsidRDefault="00E90A55" w:rsidP="00935879">
            <w:pPr>
              <w:rPr>
                <w:sz w:val="22"/>
                <w:szCs w:val="22"/>
              </w:rPr>
            </w:pPr>
            <w:r w:rsidRPr="00630889">
              <w:rPr>
                <w:sz w:val="22"/>
                <w:szCs w:val="22"/>
              </w:rPr>
              <w:tab/>
              <w:t>/</w:t>
            </w:r>
            <w:r w:rsidRPr="00630889">
              <w:rPr>
                <w:sz w:val="22"/>
                <w:szCs w:val="22"/>
              </w:rPr>
              <w:tab/>
              <w:t>/ 2016</w:t>
            </w:r>
            <w:r w:rsidRPr="00630889">
              <w:rPr>
                <w:sz w:val="22"/>
                <w:szCs w:val="22"/>
              </w:rPr>
              <w:br/>
              <w:t>Cathy O’Malley</w:t>
            </w:r>
            <w:r w:rsidRPr="00630889">
              <w:rPr>
                <w:sz w:val="22"/>
                <w:szCs w:val="22"/>
              </w:rPr>
              <w:br/>
              <w:t>Deputy Director-General</w:t>
            </w:r>
            <w:r w:rsidRPr="00630889">
              <w:rPr>
                <w:sz w:val="22"/>
                <w:szCs w:val="22"/>
              </w:rPr>
              <w:br/>
              <w:t>Sector Capability and Implementation</w:t>
            </w:r>
            <w:r w:rsidRPr="00630889">
              <w:rPr>
                <w:sz w:val="22"/>
                <w:szCs w:val="22"/>
              </w:rPr>
              <w:br/>
              <w:t>Ministry of Health</w:t>
            </w:r>
          </w:p>
        </w:tc>
        <w:tc>
          <w:tcPr>
            <w:tcW w:w="4786" w:type="dxa"/>
            <w:shd w:val="clear" w:color="auto" w:fill="auto"/>
          </w:tcPr>
          <w:p w:rsidR="00E90A55" w:rsidRPr="00630889" w:rsidRDefault="00E90A55" w:rsidP="00E90A55">
            <w:pPr>
              <w:rPr>
                <w:sz w:val="22"/>
                <w:szCs w:val="22"/>
              </w:rPr>
            </w:pPr>
          </w:p>
          <w:p w:rsidR="00E90A55" w:rsidRPr="00630889" w:rsidRDefault="00E90A55" w:rsidP="00E90A55">
            <w:pPr>
              <w:rPr>
                <w:sz w:val="22"/>
                <w:szCs w:val="22"/>
              </w:rPr>
            </w:pPr>
          </w:p>
          <w:p w:rsidR="00E90A55" w:rsidRPr="00630889" w:rsidRDefault="00E90A55" w:rsidP="00E90A55">
            <w:pPr>
              <w:rPr>
                <w:sz w:val="22"/>
                <w:szCs w:val="22"/>
              </w:rPr>
            </w:pPr>
          </w:p>
          <w:p w:rsidR="00E90A55" w:rsidRPr="00630889" w:rsidRDefault="00E90A55" w:rsidP="00E90A55">
            <w:pPr>
              <w:rPr>
                <w:sz w:val="22"/>
                <w:szCs w:val="22"/>
              </w:rPr>
            </w:pPr>
          </w:p>
          <w:p w:rsidR="008E0F3C" w:rsidRPr="00630889" w:rsidRDefault="008E0F3C" w:rsidP="00E90A55">
            <w:pPr>
              <w:rPr>
                <w:sz w:val="22"/>
                <w:szCs w:val="22"/>
              </w:rPr>
            </w:pPr>
          </w:p>
          <w:p w:rsidR="008E0F3C" w:rsidRPr="00630889" w:rsidRDefault="008E0F3C" w:rsidP="00E90A55">
            <w:pPr>
              <w:rPr>
                <w:sz w:val="22"/>
                <w:szCs w:val="22"/>
              </w:rPr>
            </w:pPr>
          </w:p>
          <w:p w:rsidR="00E90A55" w:rsidRPr="00630889" w:rsidRDefault="00E90A55" w:rsidP="00E90A55">
            <w:pPr>
              <w:rPr>
                <w:sz w:val="22"/>
                <w:szCs w:val="22"/>
              </w:rPr>
            </w:pPr>
            <w:r w:rsidRPr="00630889">
              <w:rPr>
                <w:sz w:val="22"/>
                <w:szCs w:val="22"/>
              </w:rPr>
              <w:tab/>
              <w:t>/</w:t>
            </w:r>
            <w:r w:rsidRPr="00630889">
              <w:rPr>
                <w:sz w:val="22"/>
                <w:szCs w:val="22"/>
              </w:rPr>
              <w:tab/>
              <w:t>/ 2016</w:t>
            </w:r>
          </w:p>
          <w:p w:rsidR="00E90A55" w:rsidRPr="001A57EC" w:rsidRDefault="008E0F3C" w:rsidP="00E90A55">
            <w:pPr>
              <w:rPr>
                <w:sz w:val="22"/>
                <w:szCs w:val="22"/>
              </w:rPr>
            </w:pPr>
            <w:r w:rsidRPr="001A57EC">
              <w:rPr>
                <w:sz w:val="22"/>
                <w:szCs w:val="22"/>
              </w:rPr>
              <w:t>Cameron Sherley</w:t>
            </w:r>
          </w:p>
          <w:p w:rsidR="00E90A55" w:rsidRPr="00630889" w:rsidRDefault="008E0F3C" w:rsidP="00935879">
            <w:pPr>
              <w:rPr>
                <w:sz w:val="22"/>
                <w:szCs w:val="22"/>
              </w:rPr>
            </w:pPr>
            <w:r w:rsidRPr="001A57EC">
              <w:rPr>
                <w:sz w:val="22"/>
                <w:szCs w:val="22"/>
              </w:rPr>
              <w:t>Director Policy</w:t>
            </w:r>
            <w:r w:rsidR="00E90A55" w:rsidRPr="001A57EC">
              <w:rPr>
                <w:sz w:val="22"/>
                <w:szCs w:val="22"/>
              </w:rPr>
              <w:br/>
              <w:t>Policy, Regulatory and Ethnic Affairs</w:t>
            </w:r>
            <w:r w:rsidR="00E90A55" w:rsidRPr="001A57EC">
              <w:rPr>
                <w:sz w:val="22"/>
                <w:szCs w:val="22"/>
              </w:rPr>
              <w:br/>
              <w:t>Department of Internal Affairs</w:t>
            </w:r>
          </w:p>
        </w:tc>
      </w:tr>
    </w:tbl>
    <w:p w:rsidR="00C86248" w:rsidRPr="001C7893" w:rsidRDefault="00C86248" w:rsidP="00782873">
      <w:pPr>
        <w:rPr>
          <w:sz w:val="22"/>
          <w:szCs w:val="22"/>
        </w:rPr>
      </w:pPr>
      <w:r>
        <w:br w:type="page"/>
      </w:r>
      <w:bookmarkStart w:id="6" w:name="_Toc405792991"/>
      <w:bookmarkStart w:id="7" w:name="_Toc405793224"/>
      <w:r w:rsidRPr="0005348A">
        <w:rPr>
          <w:sz w:val="28"/>
          <w:szCs w:val="28"/>
        </w:rPr>
        <w:lastRenderedPageBreak/>
        <w:t>Contents</w:t>
      </w:r>
      <w:bookmarkEnd w:id="6"/>
      <w:bookmarkEnd w:id="7"/>
    </w:p>
    <w:p w:rsidR="00B21F2A" w:rsidRDefault="00C86248">
      <w:pPr>
        <w:pStyle w:val="TOC1"/>
        <w:rPr>
          <w:rFonts w:asciiTheme="minorHAnsi" w:eastAsiaTheme="minorEastAsia" w:hAnsiTheme="minorHAnsi" w:cstheme="minorBidi"/>
          <w:noProof/>
          <w:sz w:val="22"/>
          <w:szCs w:val="22"/>
          <w:lang w:eastAsia="en-NZ"/>
        </w:rPr>
      </w:pPr>
      <w:r>
        <w:rPr>
          <w:b/>
          <w:sz w:val="24"/>
        </w:rPr>
        <w:fldChar w:fldCharType="begin"/>
      </w:r>
      <w:r>
        <w:rPr>
          <w:b/>
          <w:sz w:val="24"/>
        </w:rPr>
        <w:instrText xml:space="preserve"> TOC \o "1-2" </w:instrText>
      </w:r>
      <w:r>
        <w:rPr>
          <w:b/>
          <w:sz w:val="24"/>
        </w:rPr>
        <w:fldChar w:fldCharType="separate"/>
      </w:r>
      <w:r w:rsidR="00B21F2A">
        <w:rPr>
          <w:noProof/>
        </w:rPr>
        <w:t>Agency Disclosure Statement</w:t>
      </w:r>
      <w:r w:rsidR="00B21F2A">
        <w:rPr>
          <w:noProof/>
        </w:rPr>
        <w:tab/>
      </w:r>
      <w:r w:rsidR="00B21F2A">
        <w:rPr>
          <w:noProof/>
        </w:rPr>
        <w:fldChar w:fldCharType="begin"/>
      </w:r>
      <w:r w:rsidR="00B21F2A">
        <w:rPr>
          <w:noProof/>
        </w:rPr>
        <w:instrText xml:space="preserve"> PAGEREF _Toc440029212 \h </w:instrText>
      </w:r>
      <w:r w:rsidR="00B21F2A">
        <w:rPr>
          <w:noProof/>
        </w:rPr>
      </w:r>
      <w:r w:rsidR="00B21F2A">
        <w:rPr>
          <w:noProof/>
        </w:rPr>
        <w:fldChar w:fldCharType="separate"/>
      </w:r>
      <w:r w:rsidR="00263787">
        <w:rPr>
          <w:noProof/>
        </w:rPr>
        <w:t>i</w:t>
      </w:r>
      <w:r w:rsidR="00B21F2A">
        <w:rPr>
          <w:noProof/>
        </w:rPr>
        <w:fldChar w:fldCharType="end"/>
      </w:r>
    </w:p>
    <w:p w:rsidR="00B21F2A" w:rsidRDefault="00B21F2A">
      <w:pPr>
        <w:pStyle w:val="TOC1"/>
        <w:rPr>
          <w:rFonts w:asciiTheme="minorHAnsi" w:eastAsiaTheme="minorEastAsia" w:hAnsiTheme="minorHAnsi" w:cstheme="minorBidi"/>
          <w:noProof/>
          <w:sz w:val="22"/>
          <w:szCs w:val="22"/>
          <w:lang w:eastAsia="en-NZ"/>
        </w:rPr>
      </w:pPr>
      <w:r>
        <w:rPr>
          <w:noProof/>
        </w:rPr>
        <w:t>Problem definition</w:t>
      </w:r>
      <w:r>
        <w:rPr>
          <w:noProof/>
        </w:rPr>
        <w:tab/>
      </w:r>
      <w:r>
        <w:rPr>
          <w:noProof/>
        </w:rPr>
        <w:fldChar w:fldCharType="begin"/>
      </w:r>
      <w:r>
        <w:rPr>
          <w:noProof/>
        </w:rPr>
        <w:instrText xml:space="preserve"> PAGEREF _Toc440029213 \h </w:instrText>
      </w:r>
      <w:r>
        <w:rPr>
          <w:noProof/>
        </w:rPr>
      </w:r>
      <w:r>
        <w:rPr>
          <w:noProof/>
        </w:rPr>
        <w:fldChar w:fldCharType="separate"/>
      </w:r>
      <w:r w:rsidR="00263787">
        <w:rPr>
          <w:noProof/>
        </w:rPr>
        <w:t>1</w:t>
      </w:r>
      <w:r>
        <w:rPr>
          <w:noProof/>
        </w:rPr>
        <w:fldChar w:fldCharType="end"/>
      </w:r>
    </w:p>
    <w:p w:rsidR="00B21F2A" w:rsidRDefault="00B21F2A">
      <w:pPr>
        <w:pStyle w:val="TOC1"/>
        <w:rPr>
          <w:rFonts w:asciiTheme="minorHAnsi" w:eastAsiaTheme="minorEastAsia" w:hAnsiTheme="minorHAnsi" w:cstheme="minorBidi"/>
          <w:noProof/>
          <w:sz w:val="22"/>
          <w:szCs w:val="22"/>
          <w:lang w:eastAsia="en-NZ"/>
        </w:rPr>
      </w:pPr>
      <w:r>
        <w:rPr>
          <w:noProof/>
        </w:rPr>
        <w:t>Status quo</w:t>
      </w:r>
      <w:r>
        <w:rPr>
          <w:noProof/>
        </w:rPr>
        <w:tab/>
      </w:r>
      <w:r>
        <w:rPr>
          <w:noProof/>
        </w:rPr>
        <w:fldChar w:fldCharType="begin"/>
      </w:r>
      <w:r>
        <w:rPr>
          <w:noProof/>
        </w:rPr>
        <w:instrText xml:space="preserve"> PAGEREF _Toc440029214 \h </w:instrText>
      </w:r>
      <w:r>
        <w:rPr>
          <w:noProof/>
        </w:rPr>
      </w:r>
      <w:r>
        <w:rPr>
          <w:noProof/>
        </w:rPr>
        <w:fldChar w:fldCharType="separate"/>
      </w:r>
      <w:r w:rsidR="00263787">
        <w:rPr>
          <w:noProof/>
        </w:rPr>
        <w:t>2</w:t>
      </w:r>
      <w:r>
        <w:rPr>
          <w:noProof/>
        </w:rPr>
        <w:fldChar w:fldCharType="end"/>
      </w:r>
    </w:p>
    <w:p w:rsidR="00B21F2A" w:rsidRDefault="00B21F2A">
      <w:pPr>
        <w:pStyle w:val="TOC2"/>
        <w:rPr>
          <w:rFonts w:asciiTheme="minorHAnsi" w:eastAsiaTheme="minorEastAsia" w:hAnsiTheme="minorHAnsi" w:cstheme="minorBidi"/>
          <w:noProof/>
          <w:sz w:val="22"/>
          <w:szCs w:val="22"/>
          <w:lang w:eastAsia="en-NZ"/>
        </w:rPr>
      </w:pPr>
      <w:r>
        <w:rPr>
          <w:noProof/>
        </w:rPr>
        <w:t>Key features of gambling in New Zealand</w:t>
      </w:r>
      <w:r>
        <w:rPr>
          <w:noProof/>
        </w:rPr>
        <w:tab/>
      </w:r>
      <w:r>
        <w:rPr>
          <w:noProof/>
        </w:rPr>
        <w:fldChar w:fldCharType="begin"/>
      </w:r>
      <w:r>
        <w:rPr>
          <w:noProof/>
        </w:rPr>
        <w:instrText xml:space="preserve"> PAGEREF _Toc440029215 \h </w:instrText>
      </w:r>
      <w:r>
        <w:rPr>
          <w:noProof/>
        </w:rPr>
      </w:r>
      <w:r>
        <w:rPr>
          <w:noProof/>
        </w:rPr>
        <w:fldChar w:fldCharType="separate"/>
      </w:r>
      <w:r w:rsidR="00263787">
        <w:rPr>
          <w:noProof/>
        </w:rPr>
        <w:t>2</w:t>
      </w:r>
      <w:r>
        <w:rPr>
          <w:noProof/>
        </w:rPr>
        <w:fldChar w:fldCharType="end"/>
      </w:r>
    </w:p>
    <w:p w:rsidR="00B21F2A" w:rsidRDefault="00B21F2A">
      <w:pPr>
        <w:pStyle w:val="TOC2"/>
        <w:rPr>
          <w:rFonts w:asciiTheme="minorHAnsi" w:eastAsiaTheme="minorEastAsia" w:hAnsiTheme="minorHAnsi" w:cstheme="minorBidi"/>
          <w:noProof/>
          <w:sz w:val="22"/>
          <w:szCs w:val="22"/>
          <w:lang w:eastAsia="en-NZ"/>
        </w:rPr>
      </w:pPr>
      <w:r>
        <w:rPr>
          <w:noProof/>
        </w:rPr>
        <w:t>Existing interventions</w:t>
      </w:r>
      <w:r>
        <w:rPr>
          <w:noProof/>
        </w:rPr>
        <w:tab/>
      </w:r>
      <w:r>
        <w:rPr>
          <w:noProof/>
        </w:rPr>
        <w:fldChar w:fldCharType="begin"/>
      </w:r>
      <w:r>
        <w:rPr>
          <w:noProof/>
        </w:rPr>
        <w:instrText xml:space="preserve"> PAGEREF _Toc440029216 \h </w:instrText>
      </w:r>
      <w:r>
        <w:rPr>
          <w:noProof/>
        </w:rPr>
      </w:r>
      <w:r>
        <w:rPr>
          <w:noProof/>
        </w:rPr>
        <w:fldChar w:fldCharType="separate"/>
      </w:r>
      <w:r w:rsidR="00263787">
        <w:rPr>
          <w:noProof/>
        </w:rPr>
        <w:t>6</w:t>
      </w:r>
      <w:r>
        <w:rPr>
          <w:noProof/>
        </w:rPr>
        <w:fldChar w:fldCharType="end"/>
      </w:r>
    </w:p>
    <w:p w:rsidR="00B21F2A" w:rsidRDefault="00B21F2A">
      <w:pPr>
        <w:pStyle w:val="TOC1"/>
        <w:rPr>
          <w:rFonts w:asciiTheme="minorHAnsi" w:eastAsiaTheme="minorEastAsia" w:hAnsiTheme="minorHAnsi" w:cstheme="minorBidi"/>
          <w:noProof/>
          <w:sz w:val="22"/>
          <w:szCs w:val="22"/>
          <w:lang w:eastAsia="en-NZ"/>
        </w:rPr>
      </w:pPr>
      <w:r>
        <w:rPr>
          <w:noProof/>
        </w:rPr>
        <w:t>Objectives</w:t>
      </w:r>
      <w:r>
        <w:rPr>
          <w:noProof/>
        </w:rPr>
        <w:tab/>
      </w:r>
      <w:r>
        <w:rPr>
          <w:noProof/>
        </w:rPr>
        <w:fldChar w:fldCharType="begin"/>
      </w:r>
      <w:r>
        <w:rPr>
          <w:noProof/>
        </w:rPr>
        <w:instrText xml:space="preserve"> PAGEREF _Toc440029217 \h </w:instrText>
      </w:r>
      <w:r>
        <w:rPr>
          <w:noProof/>
        </w:rPr>
      </w:r>
      <w:r>
        <w:rPr>
          <w:noProof/>
        </w:rPr>
        <w:fldChar w:fldCharType="separate"/>
      </w:r>
      <w:r w:rsidR="00263787">
        <w:rPr>
          <w:noProof/>
        </w:rPr>
        <w:t>9</w:t>
      </w:r>
      <w:r>
        <w:rPr>
          <w:noProof/>
        </w:rPr>
        <w:fldChar w:fldCharType="end"/>
      </w:r>
    </w:p>
    <w:p w:rsidR="00B21F2A" w:rsidRDefault="00B21F2A">
      <w:pPr>
        <w:pStyle w:val="TOC2"/>
        <w:rPr>
          <w:rFonts w:asciiTheme="minorHAnsi" w:eastAsiaTheme="minorEastAsia" w:hAnsiTheme="minorHAnsi" w:cstheme="minorBidi"/>
          <w:noProof/>
          <w:sz w:val="22"/>
          <w:szCs w:val="22"/>
          <w:lang w:eastAsia="en-NZ"/>
        </w:rPr>
      </w:pPr>
      <w:r>
        <w:rPr>
          <w:noProof/>
        </w:rPr>
        <w:t>Immediate objectives</w:t>
      </w:r>
      <w:r>
        <w:rPr>
          <w:noProof/>
        </w:rPr>
        <w:tab/>
      </w:r>
      <w:r>
        <w:rPr>
          <w:noProof/>
        </w:rPr>
        <w:fldChar w:fldCharType="begin"/>
      </w:r>
      <w:r>
        <w:rPr>
          <w:noProof/>
        </w:rPr>
        <w:instrText xml:space="preserve"> PAGEREF _Toc440029218 \h </w:instrText>
      </w:r>
      <w:r>
        <w:rPr>
          <w:noProof/>
        </w:rPr>
      </w:r>
      <w:r>
        <w:rPr>
          <w:noProof/>
        </w:rPr>
        <w:fldChar w:fldCharType="separate"/>
      </w:r>
      <w:r w:rsidR="00263787">
        <w:rPr>
          <w:noProof/>
        </w:rPr>
        <w:t>9</w:t>
      </w:r>
      <w:r>
        <w:rPr>
          <w:noProof/>
        </w:rPr>
        <w:fldChar w:fldCharType="end"/>
      </w:r>
    </w:p>
    <w:p w:rsidR="00B21F2A" w:rsidRDefault="00B21F2A">
      <w:pPr>
        <w:pStyle w:val="TOC2"/>
        <w:rPr>
          <w:rFonts w:asciiTheme="minorHAnsi" w:eastAsiaTheme="minorEastAsia" w:hAnsiTheme="minorHAnsi" w:cstheme="minorBidi"/>
          <w:noProof/>
          <w:sz w:val="22"/>
          <w:szCs w:val="22"/>
          <w:lang w:eastAsia="en-NZ"/>
        </w:rPr>
      </w:pPr>
      <w:r>
        <w:rPr>
          <w:noProof/>
        </w:rPr>
        <w:t>Strategic objectives</w:t>
      </w:r>
      <w:r>
        <w:rPr>
          <w:noProof/>
        </w:rPr>
        <w:tab/>
      </w:r>
      <w:r>
        <w:rPr>
          <w:noProof/>
        </w:rPr>
        <w:fldChar w:fldCharType="begin"/>
      </w:r>
      <w:r>
        <w:rPr>
          <w:noProof/>
        </w:rPr>
        <w:instrText xml:space="preserve"> PAGEREF _Toc440029219 \h </w:instrText>
      </w:r>
      <w:r>
        <w:rPr>
          <w:noProof/>
        </w:rPr>
      </w:r>
      <w:r>
        <w:rPr>
          <w:noProof/>
        </w:rPr>
        <w:fldChar w:fldCharType="separate"/>
      </w:r>
      <w:r w:rsidR="00263787">
        <w:rPr>
          <w:noProof/>
        </w:rPr>
        <w:t>9</w:t>
      </w:r>
      <w:r>
        <w:rPr>
          <w:noProof/>
        </w:rPr>
        <w:fldChar w:fldCharType="end"/>
      </w:r>
    </w:p>
    <w:p w:rsidR="00B21F2A" w:rsidRDefault="00B21F2A">
      <w:pPr>
        <w:pStyle w:val="TOC1"/>
        <w:rPr>
          <w:rFonts w:asciiTheme="minorHAnsi" w:eastAsiaTheme="minorEastAsia" w:hAnsiTheme="minorHAnsi" w:cstheme="minorBidi"/>
          <w:noProof/>
          <w:sz w:val="22"/>
          <w:szCs w:val="22"/>
          <w:lang w:eastAsia="en-NZ"/>
        </w:rPr>
      </w:pPr>
      <w:r>
        <w:rPr>
          <w:noProof/>
        </w:rPr>
        <w:t>Regulatory impact analysis</w:t>
      </w:r>
      <w:r>
        <w:rPr>
          <w:noProof/>
        </w:rPr>
        <w:tab/>
      </w:r>
      <w:r>
        <w:rPr>
          <w:noProof/>
        </w:rPr>
        <w:fldChar w:fldCharType="begin"/>
      </w:r>
      <w:r>
        <w:rPr>
          <w:noProof/>
        </w:rPr>
        <w:instrText xml:space="preserve"> PAGEREF _Toc440029220 \h </w:instrText>
      </w:r>
      <w:r>
        <w:rPr>
          <w:noProof/>
        </w:rPr>
      </w:r>
      <w:r>
        <w:rPr>
          <w:noProof/>
        </w:rPr>
        <w:fldChar w:fldCharType="separate"/>
      </w:r>
      <w:r w:rsidR="00263787">
        <w:rPr>
          <w:noProof/>
        </w:rPr>
        <w:t>11</w:t>
      </w:r>
      <w:r>
        <w:rPr>
          <w:noProof/>
        </w:rPr>
        <w:fldChar w:fldCharType="end"/>
      </w:r>
    </w:p>
    <w:p w:rsidR="00B21F2A" w:rsidRDefault="00B21F2A">
      <w:pPr>
        <w:pStyle w:val="TOC2"/>
        <w:rPr>
          <w:rFonts w:asciiTheme="minorHAnsi" w:eastAsiaTheme="minorEastAsia" w:hAnsiTheme="minorHAnsi" w:cstheme="minorBidi"/>
          <w:noProof/>
          <w:sz w:val="22"/>
          <w:szCs w:val="22"/>
          <w:lang w:eastAsia="en-NZ"/>
        </w:rPr>
      </w:pPr>
      <w:r>
        <w:rPr>
          <w:noProof/>
        </w:rPr>
        <w:t>Whether to allow the strategy and levy simply to expire</w:t>
      </w:r>
      <w:r>
        <w:rPr>
          <w:noProof/>
        </w:rPr>
        <w:tab/>
      </w:r>
      <w:r>
        <w:rPr>
          <w:noProof/>
        </w:rPr>
        <w:fldChar w:fldCharType="begin"/>
      </w:r>
      <w:r>
        <w:rPr>
          <w:noProof/>
        </w:rPr>
        <w:instrText xml:space="preserve"> PAGEREF _Toc440029221 \h </w:instrText>
      </w:r>
      <w:r>
        <w:rPr>
          <w:noProof/>
        </w:rPr>
      </w:r>
      <w:r>
        <w:rPr>
          <w:noProof/>
        </w:rPr>
        <w:fldChar w:fldCharType="separate"/>
      </w:r>
      <w:r w:rsidR="00263787">
        <w:rPr>
          <w:noProof/>
        </w:rPr>
        <w:t>11</w:t>
      </w:r>
      <w:r>
        <w:rPr>
          <w:noProof/>
        </w:rPr>
        <w:fldChar w:fldCharType="end"/>
      </w:r>
    </w:p>
    <w:p w:rsidR="00B21F2A" w:rsidRDefault="00B21F2A">
      <w:pPr>
        <w:pStyle w:val="TOC2"/>
        <w:rPr>
          <w:rFonts w:asciiTheme="minorHAnsi" w:eastAsiaTheme="minorEastAsia" w:hAnsiTheme="minorHAnsi" w:cstheme="minorBidi"/>
          <w:noProof/>
          <w:sz w:val="22"/>
          <w:szCs w:val="22"/>
          <w:lang w:eastAsia="en-NZ"/>
        </w:rPr>
      </w:pPr>
      <w:r>
        <w:rPr>
          <w:noProof/>
        </w:rPr>
        <w:t>Ministry’s appropriation for 2016/17 to 2018/19</w:t>
      </w:r>
      <w:r>
        <w:rPr>
          <w:noProof/>
        </w:rPr>
        <w:tab/>
      </w:r>
      <w:r>
        <w:rPr>
          <w:noProof/>
        </w:rPr>
        <w:fldChar w:fldCharType="begin"/>
      </w:r>
      <w:r>
        <w:rPr>
          <w:noProof/>
        </w:rPr>
        <w:instrText xml:space="preserve"> PAGEREF _Toc440029222 \h </w:instrText>
      </w:r>
      <w:r>
        <w:rPr>
          <w:noProof/>
        </w:rPr>
      </w:r>
      <w:r>
        <w:rPr>
          <w:noProof/>
        </w:rPr>
        <w:fldChar w:fldCharType="separate"/>
      </w:r>
      <w:r w:rsidR="00263787">
        <w:rPr>
          <w:noProof/>
        </w:rPr>
        <w:t>12</w:t>
      </w:r>
      <w:r>
        <w:rPr>
          <w:noProof/>
        </w:rPr>
        <w:fldChar w:fldCharType="end"/>
      </w:r>
    </w:p>
    <w:p w:rsidR="00B21F2A" w:rsidRDefault="00B21F2A">
      <w:pPr>
        <w:pStyle w:val="TOC2"/>
        <w:rPr>
          <w:rFonts w:asciiTheme="minorHAnsi" w:eastAsiaTheme="minorEastAsia" w:hAnsiTheme="minorHAnsi" w:cstheme="minorBidi"/>
          <w:noProof/>
          <w:sz w:val="22"/>
          <w:szCs w:val="22"/>
          <w:lang w:eastAsia="en-NZ"/>
        </w:rPr>
      </w:pPr>
      <w:r>
        <w:rPr>
          <w:noProof/>
        </w:rPr>
        <w:t>The levy-paying gambling sectors</w:t>
      </w:r>
      <w:r>
        <w:rPr>
          <w:noProof/>
        </w:rPr>
        <w:tab/>
      </w:r>
      <w:r>
        <w:rPr>
          <w:noProof/>
        </w:rPr>
        <w:fldChar w:fldCharType="begin"/>
      </w:r>
      <w:r>
        <w:rPr>
          <w:noProof/>
        </w:rPr>
        <w:instrText xml:space="preserve"> PAGEREF _Toc440029223 \h </w:instrText>
      </w:r>
      <w:r>
        <w:rPr>
          <w:noProof/>
        </w:rPr>
      </w:r>
      <w:r>
        <w:rPr>
          <w:noProof/>
        </w:rPr>
        <w:fldChar w:fldCharType="separate"/>
      </w:r>
      <w:r w:rsidR="00263787">
        <w:rPr>
          <w:noProof/>
        </w:rPr>
        <w:t>13</w:t>
      </w:r>
      <w:r>
        <w:rPr>
          <w:noProof/>
        </w:rPr>
        <w:fldChar w:fldCharType="end"/>
      </w:r>
    </w:p>
    <w:p w:rsidR="00B21F2A" w:rsidRDefault="00B21F2A">
      <w:pPr>
        <w:pStyle w:val="TOC2"/>
        <w:rPr>
          <w:rFonts w:asciiTheme="minorHAnsi" w:eastAsiaTheme="minorEastAsia" w:hAnsiTheme="minorHAnsi" w:cstheme="minorBidi"/>
          <w:noProof/>
          <w:sz w:val="22"/>
          <w:szCs w:val="22"/>
          <w:lang w:eastAsia="en-NZ"/>
        </w:rPr>
      </w:pPr>
      <w:r>
        <w:rPr>
          <w:noProof/>
        </w:rPr>
        <w:t>The weighting and the resulting levy rates</w:t>
      </w:r>
      <w:r>
        <w:rPr>
          <w:noProof/>
        </w:rPr>
        <w:tab/>
      </w:r>
      <w:r>
        <w:rPr>
          <w:noProof/>
        </w:rPr>
        <w:fldChar w:fldCharType="begin"/>
      </w:r>
      <w:r>
        <w:rPr>
          <w:noProof/>
        </w:rPr>
        <w:instrText xml:space="preserve"> PAGEREF _Toc440029224 \h </w:instrText>
      </w:r>
      <w:r>
        <w:rPr>
          <w:noProof/>
        </w:rPr>
      </w:r>
      <w:r>
        <w:rPr>
          <w:noProof/>
        </w:rPr>
        <w:fldChar w:fldCharType="separate"/>
      </w:r>
      <w:r w:rsidR="00263787">
        <w:rPr>
          <w:noProof/>
        </w:rPr>
        <w:t>14</w:t>
      </w:r>
      <w:r>
        <w:rPr>
          <w:noProof/>
        </w:rPr>
        <w:fldChar w:fldCharType="end"/>
      </w:r>
    </w:p>
    <w:p w:rsidR="00B21F2A" w:rsidRDefault="00B21F2A">
      <w:pPr>
        <w:pStyle w:val="TOC1"/>
        <w:rPr>
          <w:rFonts w:asciiTheme="minorHAnsi" w:eastAsiaTheme="minorEastAsia" w:hAnsiTheme="minorHAnsi" w:cstheme="minorBidi"/>
          <w:noProof/>
          <w:sz w:val="22"/>
          <w:szCs w:val="22"/>
          <w:lang w:eastAsia="en-NZ"/>
        </w:rPr>
      </w:pPr>
      <w:r>
        <w:rPr>
          <w:noProof/>
        </w:rPr>
        <w:t>Consultation</w:t>
      </w:r>
      <w:r>
        <w:rPr>
          <w:noProof/>
        </w:rPr>
        <w:tab/>
      </w:r>
      <w:r>
        <w:rPr>
          <w:noProof/>
        </w:rPr>
        <w:fldChar w:fldCharType="begin"/>
      </w:r>
      <w:r>
        <w:rPr>
          <w:noProof/>
        </w:rPr>
        <w:instrText xml:space="preserve"> PAGEREF _Toc440029225 \h </w:instrText>
      </w:r>
      <w:r>
        <w:rPr>
          <w:noProof/>
        </w:rPr>
      </w:r>
      <w:r>
        <w:rPr>
          <w:noProof/>
        </w:rPr>
        <w:fldChar w:fldCharType="separate"/>
      </w:r>
      <w:r w:rsidR="00263787">
        <w:rPr>
          <w:noProof/>
        </w:rPr>
        <w:t>20</w:t>
      </w:r>
      <w:r>
        <w:rPr>
          <w:noProof/>
        </w:rPr>
        <w:fldChar w:fldCharType="end"/>
      </w:r>
    </w:p>
    <w:p w:rsidR="00B21F2A" w:rsidRDefault="00B21F2A">
      <w:pPr>
        <w:pStyle w:val="TOC2"/>
        <w:rPr>
          <w:rFonts w:asciiTheme="minorHAnsi" w:eastAsiaTheme="minorEastAsia" w:hAnsiTheme="minorHAnsi" w:cstheme="minorBidi"/>
          <w:noProof/>
          <w:sz w:val="22"/>
          <w:szCs w:val="22"/>
          <w:lang w:eastAsia="en-NZ"/>
        </w:rPr>
      </w:pPr>
      <w:r>
        <w:rPr>
          <w:noProof/>
        </w:rPr>
        <w:t>Who has been consulted and the form of the consultation</w:t>
      </w:r>
      <w:r>
        <w:rPr>
          <w:noProof/>
        </w:rPr>
        <w:tab/>
      </w:r>
      <w:r>
        <w:rPr>
          <w:noProof/>
        </w:rPr>
        <w:fldChar w:fldCharType="begin"/>
      </w:r>
      <w:r>
        <w:rPr>
          <w:noProof/>
        </w:rPr>
        <w:instrText xml:space="preserve"> PAGEREF _Toc440029226 \h </w:instrText>
      </w:r>
      <w:r>
        <w:rPr>
          <w:noProof/>
        </w:rPr>
      </w:r>
      <w:r>
        <w:rPr>
          <w:noProof/>
        </w:rPr>
        <w:fldChar w:fldCharType="separate"/>
      </w:r>
      <w:r w:rsidR="00263787">
        <w:rPr>
          <w:noProof/>
        </w:rPr>
        <w:t>20</w:t>
      </w:r>
      <w:r>
        <w:rPr>
          <w:noProof/>
        </w:rPr>
        <w:fldChar w:fldCharType="end"/>
      </w:r>
    </w:p>
    <w:p w:rsidR="00B21F2A" w:rsidRDefault="00B21F2A">
      <w:pPr>
        <w:pStyle w:val="TOC2"/>
        <w:rPr>
          <w:rFonts w:asciiTheme="minorHAnsi" w:eastAsiaTheme="minorEastAsia" w:hAnsiTheme="minorHAnsi" w:cstheme="minorBidi"/>
          <w:noProof/>
          <w:sz w:val="22"/>
          <w:szCs w:val="22"/>
          <w:lang w:eastAsia="en-NZ"/>
        </w:rPr>
      </w:pPr>
      <w:r>
        <w:rPr>
          <w:noProof/>
        </w:rPr>
        <w:t>Significant issues raised and changes as a result</w:t>
      </w:r>
      <w:r>
        <w:rPr>
          <w:noProof/>
        </w:rPr>
        <w:tab/>
      </w:r>
      <w:r>
        <w:rPr>
          <w:noProof/>
        </w:rPr>
        <w:fldChar w:fldCharType="begin"/>
      </w:r>
      <w:r>
        <w:rPr>
          <w:noProof/>
        </w:rPr>
        <w:instrText xml:space="preserve"> PAGEREF _Toc440029227 \h </w:instrText>
      </w:r>
      <w:r>
        <w:rPr>
          <w:noProof/>
        </w:rPr>
      </w:r>
      <w:r>
        <w:rPr>
          <w:noProof/>
        </w:rPr>
        <w:fldChar w:fldCharType="separate"/>
      </w:r>
      <w:r w:rsidR="00263787">
        <w:rPr>
          <w:noProof/>
        </w:rPr>
        <w:t>21</w:t>
      </w:r>
      <w:r>
        <w:rPr>
          <w:noProof/>
        </w:rPr>
        <w:fldChar w:fldCharType="end"/>
      </w:r>
    </w:p>
    <w:p w:rsidR="00B21F2A" w:rsidRDefault="00B21F2A">
      <w:pPr>
        <w:pStyle w:val="TOC1"/>
        <w:rPr>
          <w:rFonts w:asciiTheme="minorHAnsi" w:eastAsiaTheme="minorEastAsia" w:hAnsiTheme="minorHAnsi" w:cstheme="minorBidi"/>
          <w:noProof/>
          <w:sz w:val="22"/>
          <w:szCs w:val="22"/>
          <w:lang w:eastAsia="en-NZ"/>
        </w:rPr>
      </w:pPr>
      <w:r>
        <w:rPr>
          <w:noProof/>
        </w:rPr>
        <w:t>Conclusions and Recommendations</w:t>
      </w:r>
      <w:r>
        <w:rPr>
          <w:noProof/>
        </w:rPr>
        <w:tab/>
      </w:r>
      <w:r>
        <w:rPr>
          <w:noProof/>
        </w:rPr>
        <w:fldChar w:fldCharType="begin"/>
      </w:r>
      <w:r>
        <w:rPr>
          <w:noProof/>
        </w:rPr>
        <w:instrText xml:space="preserve"> PAGEREF _Toc440029228 \h </w:instrText>
      </w:r>
      <w:r>
        <w:rPr>
          <w:noProof/>
        </w:rPr>
      </w:r>
      <w:r>
        <w:rPr>
          <w:noProof/>
        </w:rPr>
        <w:fldChar w:fldCharType="separate"/>
      </w:r>
      <w:r w:rsidR="00263787">
        <w:rPr>
          <w:noProof/>
        </w:rPr>
        <w:t>23</w:t>
      </w:r>
      <w:r>
        <w:rPr>
          <w:noProof/>
        </w:rPr>
        <w:fldChar w:fldCharType="end"/>
      </w:r>
    </w:p>
    <w:p w:rsidR="00B21F2A" w:rsidRDefault="00B21F2A">
      <w:pPr>
        <w:pStyle w:val="TOC2"/>
        <w:rPr>
          <w:rFonts w:asciiTheme="minorHAnsi" w:eastAsiaTheme="minorEastAsia" w:hAnsiTheme="minorHAnsi" w:cstheme="minorBidi"/>
          <w:noProof/>
          <w:sz w:val="22"/>
          <w:szCs w:val="22"/>
          <w:lang w:eastAsia="en-NZ"/>
        </w:rPr>
      </w:pPr>
      <w:r>
        <w:rPr>
          <w:noProof/>
        </w:rPr>
        <w:t>Whether to allow the strategy and levy simply to expire</w:t>
      </w:r>
      <w:r>
        <w:rPr>
          <w:noProof/>
        </w:rPr>
        <w:tab/>
      </w:r>
      <w:r>
        <w:rPr>
          <w:noProof/>
        </w:rPr>
        <w:fldChar w:fldCharType="begin"/>
      </w:r>
      <w:r>
        <w:rPr>
          <w:noProof/>
        </w:rPr>
        <w:instrText xml:space="preserve"> PAGEREF _Toc440029229 \h </w:instrText>
      </w:r>
      <w:r>
        <w:rPr>
          <w:noProof/>
        </w:rPr>
      </w:r>
      <w:r>
        <w:rPr>
          <w:noProof/>
        </w:rPr>
        <w:fldChar w:fldCharType="separate"/>
      </w:r>
      <w:r w:rsidR="00263787">
        <w:rPr>
          <w:noProof/>
        </w:rPr>
        <w:t>23</w:t>
      </w:r>
      <w:r>
        <w:rPr>
          <w:noProof/>
        </w:rPr>
        <w:fldChar w:fldCharType="end"/>
      </w:r>
    </w:p>
    <w:p w:rsidR="00B21F2A" w:rsidRDefault="00B21F2A">
      <w:pPr>
        <w:pStyle w:val="TOC2"/>
        <w:rPr>
          <w:rFonts w:asciiTheme="minorHAnsi" w:eastAsiaTheme="minorEastAsia" w:hAnsiTheme="minorHAnsi" w:cstheme="minorBidi"/>
          <w:noProof/>
          <w:sz w:val="22"/>
          <w:szCs w:val="22"/>
          <w:lang w:eastAsia="en-NZ"/>
        </w:rPr>
      </w:pPr>
      <w:r>
        <w:rPr>
          <w:noProof/>
        </w:rPr>
        <w:t>Ministry’s appropriation for 2016/17 to 2018/19</w:t>
      </w:r>
      <w:r>
        <w:rPr>
          <w:noProof/>
        </w:rPr>
        <w:tab/>
      </w:r>
      <w:r>
        <w:rPr>
          <w:noProof/>
        </w:rPr>
        <w:fldChar w:fldCharType="begin"/>
      </w:r>
      <w:r>
        <w:rPr>
          <w:noProof/>
        </w:rPr>
        <w:instrText xml:space="preserve"> PAGEREF _Toc440029230 \h </w:instrText>
      </w:r>
      <w:r>
        <w:rPr>
          <w:noProof/>
        </w:rPr>
      </w:r>
      <w:r>
        <w:rPr>
          <w:noProof/>
        </w:rPr>
        <w:fldChar w:fldCharType="separate"/>
      </w:r>
      <w:r w:rsidR="00263787">
        <w:rPr>
          <w:noProof/>
        </w:rPr>
        <w:t>23</w:t>
      </w:r>
      <w:r>
        <w:rPr>
          <w:noProof/>
        </w:rPr>
        <w:fldChar w:fldCharType="end"/>
      </w:r>
    </w:p>
    <w:p w:rsidR="00B21F2A" w:rsidRDefault="00B21F2A">
      <w:pPr>
        <w:pStyle w:val="TOC2"/>
        <w:rPr>
          <w:rFonts w:asciiTheme="minorHAnsi" w:eastAsiaTheme="minorEastAsia" w:hAnsiTheme="minorHAnsi" w:cstheme="minorBidi"/>
          <w:noProof/>
          <w:sz w:val="22"/>
          <w:szCs w:val="22"/>
          <w:lang w:eastAsia="en-NZ"/>
        </w:rPr>
      </w:pPr>
      <w:r>
        <w:rPr>
          <w:noProof/>
        </w:rPr>
        <w:t>The levy-paying gambling sectors</w:t>
      </w:r>
      <w:r>
        <w:rPr>
          <w:noProof/>
        </w:rPr>
        <w:tab/>
      </w:r>
      <w:r>
        <w:rPr>
          <w:noProof/>
        </w:rPr>
        <w:fldChar w:fldCharType="begin"/>
      </w:r>
      <w:r>
        <w:rPr>
          <w:noProof/>
        </w:rPr>
        <w:instrText xml:space="preserve"> PAGEREF _Toc440029231 \h </w:instrText>
      </w:r>
      <w:r>
        <w:rPr>
          <w:noProof/>
        </w:rPr>
      </w:r>
      <w:r>
        <w:rPr>
          <w:noProof/>
        </w:rPr>
        <w:fldChar w:fldCharType="separate"/>
      </w:r>
      <w:r w:rsidR="00263787">
        <w:rPr>
          <w:noProof/>
        </w:rPr>
        <w:t>23</w:t>
      </w:r>
      <w:r>
        <w:rPr>
          <w:noProof/>
        </w:rPr>
        <w:fldChar w:fldCharType="end"/>
      </w:r>
    </w:p>
    <w:p w:rsidR="00B21F2A" w:rsidRDefault="00B21F2A">
      <w:pPr>
        <w:pStyle w:val="TOC2"/>
        <w:rPr>
          <w:rFonts w:asciiTheme="minorHAnsi" w:eastAsiaTheme="minorEastAsia" w:hAnsiTheme="minorHAnsi" w:cstheme="minorBidi"/>
          <w:noProof/>
          <w:sz w:val="22"/>
          <w:szCs w:val="22"/>
          <w:lang w:eastAsia="en-NZ"/>
        </w:rPr>
      </w:pPr>
      <w:r>
        <w:rPr>
          <w:noProof/>
        </w:rPr>
        <w:t>The weighting and the resulting levy rates</w:t>
      </w:r>
      <w:r>
        <w:rPr>
          <w:noProof/>
        </w:rPr>
        <w:tab/>
      </w:r>
      <w:r>
        <w:rPr>
          <w:noProof/>
        </w:rPr>
        <w:fldChar w:fldCharType="begin"/>
      </w:r>
      <w:r>
        <w:rPr>
          <w:noProof/>
        </w:rPr>
        <w:instrText xml:space="preserve"> PAGEREF _Toc440029232 \h </w:instrText>
      </w:r>
      <w:r>
        <w:rPr>
          <w:noProof/>
        </w:rPr>
      </w:r>
      <w:r>
        <w:rPr>
          <w:noProof/>
        </w:rPr>
        <w:fldChar w:fldCharType="separate"/>
      </w:r>
      <w:r w:rsidR="00263787">
        <w:rPr>
          <w:noProof/>
        </w:rPr>
        <w:t>24</w:t>
      </w:r>
      <w:r>
        <w:rPr>
          <w:noProof/>
        </w:rPr>
        <w:fldChar w:fldCharType="end"/>
      </w:r>
    </w:p>
    <w:p w:rsidR="00B21F2A" w:rsidRDefault="00B21F2A">
      <w:pPr>
        <w:pStyle w:val="TOC1"/>
        <w:rPr>
          <w:rFonts w:asciiTheme="minorHAnsi" w:eastAsiaTheme="minorEastAsia" w:hAnsiTheme="minorHAnsi" w:cstheme="minorBidi"/>
          <w:noProof/>
          <w:sz w:val="22"/>
          <w:szCs w:val="22"/>
          <w:lang w:eastAsia="en-NZ"/>
        </w:rPr>
      </w:pPr>
      <w:r>
        <w:rPr>
          <w:noProof/>
        </w:rPr>
        <w:t>Implementation</w:t>
      </w:r>
      <w:r>
        <w:rPr>
          <w:noProof/>
        </w:rPr>
        <w:tab/>
      </w:r>
      <w:r>
        <w:rPr>
          <w:noProof/>
        </w:rPr>
        <w:fldChar w:fldCharType="begin"/>
      </w:r>
      <w:r>
        <w:rPr>
          <w:noProof/>
        </w:rPr>
        <w:instrText xml:space="preserve"> PAGEREF _Toc440029233 \h </w:instrText>
      </w:r>
      <w:r>
        <w:rPr>
          <w:noProof/>
        </w:rPr>
      </w:r>
      <w:r>
        <w:rPr>
          <w:noProof/>
        </w:rPr>
        <w:fldChar w:fldCharType="separate"/>
      </w:r>
      <w:r w:rsidR="00263787">
        <w:rPr>
          <w:noProof/>
        </w:rPr>
        <w:t>25</w:t>
      </w:r>
      <w:r>
        <w:rPr>
          <w:noProof/>
        </w:rPr>
        <w:fldChar w:fldCharType="end"/>
      </w:r>
    </w:p>
    <w:p w:rsidR="00B21F2A" w:rsidRDefault="00B21F2A">
      <w:pPr>
        <w:pStyle w:val="TOC1"/>
        <w:rPr>
          <w:rFonts w:asciiTheme="minorHAnsi" w:eastAsiaTheme="minorEastAsia" w:hAnsiTheme="minorHAnsi" w:cstheme="minorBidi"/>
          <w:noProof/>
          <w:sz w:val="22"/>
          <w:szCs w:val="22"/>
          <w:lang w:eastAsia="en-NZ"/>
        </w:rPr>
      </w:pPr>
      <w:r>
        <w:rPr>
          <w:noProof/>
        </w:rPr>
        <w:t>Monitoring, Evaluation and Review</w:t>
      </w:r>
      <w:r>
        <w:rPr>
          <w:noProof/>
        </w:rPr>
        <w:tab/>
      </w:r>
      <w:r>
        <w:rPr>
          <w:noProof/>
        </w:rPr>
        <w:fldChar w:fldCharType="begin"/>
      </w:r>
      <w:r>
        <w:rPr>
          <w:noProof/>
        </w:rPr>
        <w:instrText xml:space="preserve"> PAGEREF _Toc440029234 \h </w:instrText>
      </w:r>
      <w:r>
        <w:rPr>
          <w:noProof/>
        </w:rPr>
      </w:r>
      <w:r>
        <w:rPr>
          <w:noProof/>
        </w:rPr>
        <w:fldChar w:fldCharType="separate"/>
      </w:r>
      <w:r w:rsidR="00263787">
        <w:rPr>
          <w:noProof/>
        </w:rPr>
        <w:t>26</w:t>
      </w:r>
      <w:r>
        <w:rPr>
          <w:noProof/>
        </w:rPr>
        <w:fldChar w:fldCharType="end"/>
      </w:r>
    </w:p>
    <w:p w:rsidR="00B21F2A" w:rsidRDefault="00B21F2A">
      <w:pPr>
        <w:pStyle w:val="TOC1"/>
        <w:rPr>
          <w:rFonts w:asciiTheme="minorHAnsi" w:eastAsiaTheme="minorEastAsia" w:hAnsiTheme="minorHAnsi" w:cstheme="minorBidi"/>
          <w:noProof/>
          <w:sz w:val="22"/>
          <w:szCs w:val="22"/>
          <w:lang w:eastAsia="en-NZ"/>
        </w:rPr>
      </w:pPr>
      <w:r>
        <w:rPr>
          <w:noProof/>
        </w:rPr>
        <w:t>References</w:t>
      </w:r>
      <w:r>
        <w:rPr>
          <w:noProof/>
        </w:rPr>
        <w:tab/>
      </w:r>
      <w:r>
        <w:rPr>
          <w:noProof/>
        </w:rPr>
        <w:fldChar w:fldCharType="begin"/>
      </w:r>
      <w:r>
        <w:rPr>
          <w:noProof/>
        </w:rPr>
        <w:instrText xml:space="preserve"> PAGEREF _Toc440029235 \h </w:instrText>
      </w:r>
      <w:r>
        <w:rPr>
          <w:noProof/>
        </w:rPr>
      </w:r>
      <w:r>
        <w:rPr>
          <w:noProof/>
        </w:rPr>
        <w:fldChar w:fldCharType="separate"/>
      </w:r>
      <w:r w:rsidR="00263787">
        <w:rPr>
          <w:noProof/>
        </w:rPr>
        <w:t>27</w:t>
      </w:r>
      <w:r>
        <w:rPr>
          <w:noProof/>
        </w:rPr>
        <w:fldChar w:fldCharType="end"/>
      </w:r>
    </w:p>
    <w:p w:rsidR="00C86248" w:rsidRDefault="00C86248" w:rsidP="0070374B">
      <w:pPr>
        <w:pStyle w:val="TOC1"/>
      </w:pPr>
      <w:r>
        <w:rPr>
          <w:b/>
        </w:rPr>
        <w:fldChar w:fldCharType="end"/>
      </w:r>
      <w:r>
        <w:t>List of Tables</w:t>
      </w:r>
    </w:p>
    <w:p w:rsidR="009F6119" w:rsidRDefault="00C86248">
      <w:pPr>
        <w:pStyle w:val="TOC3"/>
        <w:rPr>
          <w:rFonts w:asciiTheme="minorHAnsi" w:eastAsiaTheme="minorEastAsia" w:hAnsiTheme="minorHAnsi" w:cstheme="minorBidi"/>
          <w:noProof/>
          <w:sz w:val="22"/>
          <w:szCs w:val="22"/>
          <w:lang w:eastAsia="en-NZ"/>
        </w:rPr>
      </w:pPr>
      <w:r>
        <w:fldChar w:fldCharType="begin"/>
      </w:r>
      <w:r>
        <w:instrText xml:space="preserve"> TOC \t "Table,3" </w:instrText>
      </w:r>
      <w:r>
        <w:fldChar w:fldCharType="separate"/>
      </w:r>
      <w:r w:rsidR="009F6119">
        <w:rPr>
          <w:noProof/>
        </w:rPr>
        <w:t>Table 1: Ministry of Health Budget (GST exclusive), 2013/14 to 2015/16</w:t>
      </w:r>
      <w:r w:rsidR="009F6119">
        <w:rPr>
          <w:noProof/>
        </w:rPr>
        <w:tab/>
      </w:r>
      <w:r w:rsidR="009F6119">
        <w:rPr>
          <w:noProof/>
        </w:rPr>
        <w:fldChar w:fldCharType="begin"/>
      </w:r>
      <w:r w:rsidR="009F6119">
        <w:rPr>
          <w:noProof/>
        </w:rPr>
        <w:instrText xml:space="preserve"> PAGEREF _Toc443057201 \h </w:instrText>
      </w:r>
      <w:r w:rsidR="009F6119">
        <w:rPr>
          <w:noProof/>
        </w:rPr>
      </w:r>
      <w:r w:rsidR="009F6119">
        <w:rPr>
          <w:noProof/>
        </w:rPr>
        <w:fldChar w:fldCharType="separate"/>
      </w:r>
      <w:r w:rsidR="00263787">
        <w:rPr>
          <w:noProof/>
        </w:rPr>
        <w:t>8</w:t>
      </w:r>
      <w:r w:rsidR="009F6119">
        <w:rPr>
          <w:noProof/>
        </w:rPr>
        <w:fldChar w:fldCharType="end"/>
      </w:r>
    </w:p>
    <w:p w:rsidR="009F6119" w:rsidRDefault="009F6119">
      <w:pPr>
        <w:pStyle w:val="TOC3"/>
        <w:rPr>
          <w:rFonts w:asciiTheme="minorHAnsi" w:eastAsiaTheme="minorEastAsia" w:hAnsiTheme="minorHAnsi" w:cstheme="minorBidi"/>
          <w:noProof/>
          <w:sz w:val="22"/>
          <w:szCs w:val="22"/>
          <w:lang w:eastAsia="en-NZ"/>
        </w:rPr>
      </w:pPr>
      <w:r>
        <w:rPr>
          <w:noProof/>
        </w:rPr>
        <w:t>Table 2: Share of expenditure and presentations by levy-paying sector, 2011/12 and 2014/15</w:t>
      </w:r>
      <w:r>
        <w:rPr>
          <w:noProof/>
        </w:rPr>
        <w:tab/>
      </w:r>
      <w:r>
        <w:rPr>
          <w:noProof/>
        </w:rPr>
        <w:fldChar w:fldCharType="begin"/>
      </w:r>
      <w:r>
        <w:rPr>
          <w:noProof/>
        </w:rPr>
        <w:instrText xml:space="preserve"> PAGEREF _Toc443057202 \h </w:instrText>
      </w:r>
      <w:r>
        <w:rPr>
          <w:noProof/>
        </w:rPr>
      </w:r>
      <w:r>
        <w:rPr>
          <w:noProof/>
        </w:rPr>
        <w:fldChar w:fldCharType="separate"/>
      </w:r>
      <w:r w:rsidR="00263787">
        <w:rPr>
          <w:noProof/>
        </w:rPr>
        <w:t>16</w:t>
      </w:r>
      <w:r>
        <w:rPr>
          <w:noProof/>
        </w:rPr>
        <w:fldChar w:fldCharType="end"/>
      </w:r>
    </w:p>
    <w:p w:rsidR="009F6119" w:rsidRDefault="009F6119">
      <w:pPr>
        <w:pStyle w:val="TOC3"/>
        <w:rPr>
          <w:rFonts w:asciiTheme="minorHAnsi" w:eastAsiaTheme="minorEastAsia" w:hAnsiTheme="minorHAnsi" w:cstheme="minorBidi"/>
          <w:noProof/>
          <w:sz w:val="22"/>
          <w:szCs w:val="22"/>
          <w:lang w:eastAsia="en-NZ"/>
        </w:rPr>
      </w:pPr>
      <w:r>
        <w:rPr>
          <w:noProof/>
        </w:rPr>
        <w:t>Table 3: Share of budget, levy rate and expected levy amount by sector by weighting, 2016/17 to 2018/19; and at 10/90 in the current period (2013/14 to 2015/16)</w:t>
      </w:r>
      <w:r>
        <w:rPr>
          <w:noProof/>
        </w:rPr>
        <w:tab/>
      </w:r>
      <w:r>
        <w:rPr>
          <w:noProof/>
        </w:rPr>
        <w:fldChar w:fldCharType="begin"/>
      </w:r>
      <w:r>
        <w:rPr>
          <w:noProof/>
        </w:rPr>
        <w:instrText xml:space="preserve"> PAGEREF _Toc443057203 \h </w:instrText>
      </w:r>
      <w:r>
        <w:rPr>
          <w:noProof/>
        </w:rPr>
      </w:r>
      <w:r>
        <w:rPr>
          <w:noProof/>
        </w:rPr>
        <w:fldChar w:fldCharType="separate"/>
      </w:r>
      <w:r w:rsidR="00263787">
        <w:rPr>
          <w:noProof/>
        </w:rPr>
        <w:t>17</w:t>
      </w:r>
      <w:r>
        <w:rPr>
          <w:noProof/>
        </w:rPr>
        <w:fldChar w:fldCharType="end"/>
      </w:r>
    </w:p>
    <w:p w:rsidR="009F6119" w:rsidRDefault="009F6119">
      <w:pPr>
        <w:pStyle w:val="TOC3"/>
        <w:rPr>
          <w:rFonts w:asciiTheme="minorHAnsi" w:eastAsiaTheme="minorEastAsia" w:hAnsiTheme="minorHAnsi" w:cstheme="minorBidi"/>
          <w:noProof/>
          <w:sz w:val="22"/>
          <w:szCs w:val="22"/>
          <w:lang w:eastAsia="en-NZ"/>
        </w:rPr>
      </w:pPr>
      <w:r>
        <w:rPr>
          <w:noProof/>
        </w:rPr>
        <w:t>Table 4: Under-recovery or over-recovery of levy, 2004/05 to 2015/16, by sector</w:t>
      </w:r>
      <w:r>
        <w:rPr>
          <w:noProof/>
        </w:rPr>
        <w:tab/>
      </w:r>
      <w:r>
        <w:rPr>
          <w:noProof/>
        </w:rPr>
        <w:fldChar w:fldCharType="begin"/>
      </w:r>
      <w:r>
        <w:rPr>
          <w:noProof/>
        </w:rPr>
        <w:instrText xml:space="preserve"> PAGEREF _Toc443057204 \h </w:instrText>
      </w:r>
      <w:r>
        <w:rPr>
          <w:noProof/>
        </w:rPr>
      </w:r>
      <w:r>
        <w:rPr>
          <w:noProof/>
        </w:rPr>
        <w:fldChar w:fldCharType="separate"/>
      </w:r>
      <w:r w:rsidR="00263787">
        <w:rPr>
          <w:noProof/>
        </w:rPr>
        <w:t>18</w:t>
      </w:r>
      <w:r>
        <w:rPr>
          <w:noProof/>
        </w:rPr>
        <w:fldChar w:fldCharType="end"/>
      </w:r>
    </w:p>
    <w:p w:rsidR="009F6119" w:rsidRDefault="009F6119">
      <w:pPr>
        <w:pStyle w:val="TOC3"/>
        <w:rPr>
          <w:rFonts w:asciiTheme="minorHAnsi" w:eastAsiaTheme="minorEastAsia" w:hAnsiTheme="minorHAnsi" w:cstheme="minorBidi"/>
          <w:noProof/>
          <w:sz w:val="22"/>
          <w:szCs w:val="22"/>
          <w:lang w:eastAsia="en-NZ"/>
        </w:rPr>
      </w:pPr>
      <w:r>
        <w:rPr>
          <w:noProof/>
        </w:rPr>
        <w:t>Table 5: Proposed Ministry of Health Budget (GST exclusive), 2016/17 to 2018/19</w:t>
      </w:r>
      <w:r>
        <w:rPr>
          <w:noProof/>
        </w:rPr>
        <w:tab/>
      </w:r>
      <w:r>
        <w:rPr>
          <w:noProof/>
        </w:rPr>
        <w:fldChar w:fldCharType="begin"/>
      </w:r>
      <w:r>
        <w:rPr>
          <w:noProof/>
        </w:rPr>
        <w:instrText xml:space="preserve"> PAGEREF _Toc443057205 \h </w:instrText>
      </w:r>
      <w:r>
        <w:rPr>
          <w:noProof/>
        </w:rPr>
      </w:r>
      <w:r>
        <w:rPr>
          <w:noProof/>
        </w:rPr>
        <w:fldChar w:fldCharType="separate"/>
      </w:r>
      <w:r w:rsidR="00263787">
        <w:rPr>
          <w:noProof/>
        </w:rPr>
        <w:t>23</w:t>
      </w:r>
      <w:r>
        <w:rPr>
          <w:noProof/>
        </w:rPr>
        <w:fldChar w:fldCharType="end"/>
      </w:r>
    </w:p>
    <w:p w:rsidR="009F6119" w:rsidRDefault="009F6119">
      <w:pPr>
        <w:pStyle w:val="TOC3"/>
        <w:rPr>
          <w:rFonts w:asciiTheme="minorHAnsi" w:eastAsiaTheme="minorEastAsia" w:hAnsiTheme="minorHAnsi" w:cstheme="minorBidi"/>
          <w:noProof/>
          <w:sz w:val="22"/>
          <w:szCs w:val="22"/>
          <w:lang w:eastAsia="en-NZ"/>
        </w:rPr>
      </w:pPr>
      <w:r>
        <w:rPr>
          <w:noProof/>
        </w:rPr>
        <w:t>Table 6: Recommended levy rate for each gambling sector, 2016/17 to 2018/19</w:t>
      </w:r>
      <w:r>
        <w:rPr>
          <w:noProof/>
        </w:rPr>
        <w:tab/>
      </w:r>
      <w:r>
        <w:rPr>
          <w:noProof/>
        </w:rPr>
        <w:fldChar w:fldCharType="begin"/>
      </w:r>
      <w:r>
        <w:rPr>
          <w:noProof/>
        </w:rPr>
        <w:instrText xml:space="preserve"> PAGEREF _Toc443057206 \h </w:instrText>
      </w:r>
      <w:r>
        <w:rPr>
          <w:noProof/>
        </w:rPr>
      </w:r>
      <w:r>
        <w:rPr>
          <w:noProof/>
        </w:rPr>
        <w:fldChar w:fldCharType="separate"/>
      </w:r>
      <w:r w:rsidR="00263787">
        <w:rPr>
          <w:noProof/>
        </w:rPr>
        <w:t>24</w:t>
      </w:r>
      <w:r>
        <w:rPr>
          <w:noProof/>
        </w:rPr>
        <w:fldChar w:fldCharType="end"/>
      </w:r>
    </w:p>
    <w:p w:rsidR="00C86248" w:rsidRDefault="00C86248" w:rsidP="003B20EE">
      <w:pPr>
        <w:spacing w:before="300"/>
      </w:pPr>
      <w:r>
        <w:fldChar w:fldCharType="end"/>
      </w:r>
    </w:p>
    <w:p w:rsidR="00C86248" w:rsidRDefault="00C86248">
      <w:pPr>
        <w:sectPr w:rsidR="00C86248" w:rsidSect="00554A2B">
          <w:footerReference w:type="even" r:id="rId9"/>
          <w:footerReference w:type="default" r:id="rId10"/>
          <w:pgSz w:w="11907" w:h="16840" w:code="9"/>
          <w:pgMar w:top="1418" w:right="1134" w:bottom="1701" w:left="1418" w:header="0" w:footer="284" w:gutter="0"/>
          <w:pgNumType w:fmt="lowerRoman"/>
          <w:cols w:space="720"/>
          <w:docGrid w:linePitch="326"/>
        </w:sectPr>
      </w:pPr>
    </w:p>
    <w:p w:rsidR="00640D1B" w:rsidRDefault="00640D1B" w:rsidP="00640D1B">
      <w:pPr>
        <w:pStyle w:val="Heading1"/>
      </w:pPr>
      <w:bookmarkStart w:id="8" w:name="_Toc440029213"/>
      <w:r>
        <w:lastRenderedPageBreak/>
        <w:t>Problem definition</w:t>
      </w:r>
      <w:bookmarkEnd w:id="8"/>
    </w:p>
    <w:p w:rsidR="00E5294B" w:rsidRPr="00E5294B" w:rsidRDefault="00E5294B" w:rsidP="007355D7">
      <w:pPr>
        <w:numPr>
          <w:ilvl w:val="0"/>
          <w:numId w:val="41"/>
        </w:numPr>
        <w:ind w:left="567" w:hanging="567"/>
        <w:rPr>
          <w:sz w:val="22"/>
          <w:szCs w:val="22"/>
        </w:rPr>
      </w:pPr>
      <w:r w:rsidRPr="00E5294B">
        <w:rPr>
          <w:sz w:val="22"/>
          <w:szCs w:val="22"/>
        </w:rPr>
        <w:t xml:space="preserve">The Gambling Act 2003 (the Act) recognises that harm from gambling is a sizable issue, and section 317 of the Act sets out requirements for an ‘integrated problem gambling strategy focused on </w:t>
      </w:r>
      <w:r w:rsidR="00282949">
        <w:rPr>
          <w:sz w:val="22"/>
          <w:szCs w:val="22"/>
        </w:rPr>
        <w:t xml:space="preserve">public health’ (the strategy). </w:t>
      </w:r>
      <w:r w:rsidR="00C2683C">
        <w:rPr>
          <w:sz w:val="22"/>
          <w:szCs w:val="22"/>
        </w:rPr>
        <w:t xml:space="preserve"> </w:t>
      </w:r>
      <w:r w:rsidRPr="00E5294B">
        <w:rPr>
          <w:sz w:val="22"/>
          <w:szCs w:val="22"/>
        </w:rPr>
        <w:t>The Ministry of Health (the Ministry) is responsible for the strategy</w:t>
      </w:r>
      <w:r w:rsidR="00D44376">
        <w:rPr>
          <w:sz w:val="22"/>
          <w:szCs w:val="22"/>
        </w:rPr>
        <w:t>, which it refers to as its Strategy to Prevent and Minimise Gambling Harm</w:t>
      </w:r>
      <w:r w:rsidRPr="00E5294B">
        <w:rPr>
          <w:sz w:val="22"/>
          <w:szCs w:val="22"/>
        </w:rPr>
        <w:t>.</w:t>
      </w:r>
    </w:p>
    <w:p w:rsidR="00E5294B" w:rsidRPr="00E5294B" w:rsidRDefault="00E5294B" w:rsidP="007355D7">
      <w:pPr>
        <w:rPr>
          <w:sz w:val="22"/>
          <w:szCs w:val="22"/>
        </w:rPr>
      </w:pPr>
    </w:p>
    <w:p w:rsidR="00E5294B" w:rsidRPr="00E5294B" w:rsidRDefault="00E5294B" w:rsidP="007355D7">
      <w:pPr>
        <w:numPr>
          <w:ilvl w:val="0"/>
          <w:numId w:val="41"/>
        </w:numPr>
        <w:ind w:left="567" w:hanging="567"/>
        <w:rPr>
          <w:sz w:val="22"/>
          <w:szCs w:val="22"/>
        </w:rPr>
      </w:pPr>
      <w:r w:rsidRPr="00E5294B">
        <w:rPr>
          <w:sz w:val="22"/>
          <w:szCs w:val="22"/>
        </w:rPr>
        <w:t xml:space="preserve">Funding is appropriated to </w:t>
      </w:r>
      <w:r w:rsidR="00282949">
        <w:rPr>
          <w:sz w:val="22"/>
          <w:szCs w:val="22"/>
        </w:rPr>
        <w:t xml:space="preserve">the Ministry for the strategy. </w:t>
      </w:r>
      <w:r w:rsidR="00C2683C">
        <w:rPr>
          <w:sz w:val="22"/>
          <w:szCs w:val="22"/>
        </w:rPr>
        <w:t xml:space="preserve"> </w:t>
      </w:r>
      <w:r w:rsidRPr="00E5294B">
        <w:rPr>
          <w:sz w:val="22"/>
          <w:szCs w:val="22"/>
        </w:rPr>
        <w:t xml:space="preserve">A ‘problem gambling levy’ (the levy) </w:t>
      </w:r>
      <w:r w:rsidR="00464496">
        <w:rPr>
          <w:sz w:val="22"/>
          <w:szCs w:val="22"/>
        </w:rPr>
        <w:t xml:space="preserve">is </w:t>
      </w:r>
      <w:r w:rsidRPr="00E5294B">
        <w:rPr>
          <w:sz w:val="22"/>
          <w:szCs w:val="22"/>
        </w:rPr>
        <w:t>set by regulation at different rates on the profits of the main gambling sectors</w:t>
      </w:r>
      <w:r w:rsidR="00464496">
        <w:rPr>
          <w:sz w:val="22"/>
          <w:szCs w:val="22"/>
        </w:rPr>
        <w:t>.  The levy, which is collected by t</w:t>
      </w:r>
      <w:r w:rsidR="00C2683C">
        <w:rPr>
          <w:sz w:val="22"/>
          <w:szCs w:val="22"/>
        </w:rPr>
        <w:t xml:space="preserve">he </w:t>
      </w:r>
      <w:r w:rsidR="00DB06ED">
        <w:rPr>
          <w:sz w:val="22"/>
          <w:szCs w:val="22"/>
        </w:rPr>
        <w:t xml:space="preserve">Inland Revenue </w:t>
      </w:r>
      <w:r w:rsidR="00C2683C">
        <w:rPr>
          <w:sz w:val="22"/>
          <w:szCs w:val="22"/>
        </w:rPr>
        <w:t xml:space="preserve">Department </w:t>
      </w:r>
      <w:r w:rsidR="00DB06ED">
        <w:rPr>
          <w:sz w:val="22"/>
          <w:szCs w:val="22"/>
        </w:rPr>
        <w:t>(IRD)</w:t>
      </w:r>
      <w:r w:rsidR="00464496">
        <w:rPr>
          <w:sz w:val="22"/>
          <w:szCs w:val="22"/>
        </w:rPr>
        <w:t>,</w:t>
      </w:r>
      <w:r w:rsidR="00DB06ED">
        <w:rPr>
          <w:sz w:val="22"/>
          <w:szCs w:val="22"/>
        </w:rPr>
        <w:t xml:space="preserve"> </w:t>
      </w:r>
      <w:r w:rsidRPr="00E5294B">
        <w:rPr>
          <w:sz w:val="22"/>
          <w:szCs w:val="22"/>
        </w:rPr>
        <w:t>is</w:t>
      </w:r>
      <w:r w:rsidR="007355D7">
        <w:rPr>
          <w:sz w:val="22"/>
          <w:szCs w:val="22"/>
        </w:rPr>
        <w:t xml:space="preserve"> intended to reimburse</w:t>
      </w:r>
      <w:r w:rsidRPr="00E5294B">
        <w:rPr>
          <w:sz w:val="22"/>
          <w:szCs w:val="22"/>
        </w:rPr>
        <w:t xml:space="preserve"> </w:t>
      </w:r>
      <w:r w:rsidR="00464496">
        <w:rPr>
          <w:sz w:val="22"/>
          <w:szCs w:val="22"/>
        </w:rPr>
        <w:t xml:space="preserve">to the Crown </w:t>
      </w:r>
      <w:r w:rsidRPr="00E5294B">
        <w:rPr>
          <w:sz w:val="22"/>
          <w:szCs w:val="22"/>
        </w:rPr>
        <w:t>the</w:t>
      </w:r>
      <w:r w:rsidR="00464496">
        <w:rPr>
          <w:sz w:val="22"/>
          <w:szCs w:val="22"/>
        </w:rPr>
        <w:t xml:space="preserve"> amount of the Ministry’s spending on the strategy</w:t>
      </w:r>
      <w:r w:rsidR="00282949">
        <w:rPr>
          <w:sz w:val="22"/>
          <w:szCs w:val="22"/>
        </w:rPr>
        <w:t>.</w:t>
      </w:r>
      <w:r w:rsidR="00C2683C">
        <w:rPr>
          <w:sz w:val="22"/>
          <w:szCs w:val="22"/>
        </w:rPr>
        <w:t xml:space="preserve"> </w:t>
      </w:r>
      <w:r w:rsidR="00282949">
        <w:rPr>
          <w:sz w:val="22"/>
          <w:szCs w:val="22"/>
        </w:rPr>
        <w:t xml:space="preserve"> </w:t>
      </w:r>
      <w:r w:rsidRPr="00E5294B">
        <w:rPr>
          <w:sz w:val="22"/>
          <w:szCs w:val="22"/>
        </w:rPr>
        <w:t xml:space="preserve">This ensures that the strategy is broadly fiscally neutral over time.  </w:t>
      </w:r>
    </w:p>
    <w:p w:rsidR="00E5294B" w:rsidRPr="00E5294B" w:rsidRDefault="00E5294B" w:rsidP="007355D7">
      <w:pPr>
        <w:rPr>
          <w:sz w:val="22"/>
          <w:szCs w:val="22"/>
        </w:rPr>
      </w:pPr>
    </w:p>
    <w:p w:rsidR="00B14FE3" w:rsidRDefault="003477EB" w:rsidP="007355D7">
      <w:pPr>
        <w:numPr>
          <w:ilvl w:val="0"/>
          <w:numId w:val="41"/>
        </w:numPr>
        <w:ind w:left="567" w:hanging="567"/>
        <w:rPr>
          <w:sz w:val="22"/>
          <w:szCs w:val="22"/>
        </w:rPr>
      </w:pPr>
      <w:r>
        <w:rPr>
          <w:sz w:val="22"/>
          <w:szCs w:val="22"/>
        </w:rPr>
        <w:t xml:space="preserve">The current strategy and levy </w:t>
      </w:r>
      <w:r w:rsidR="00E43A3B">
        <w:rPr>
          <w:sz w:val="22"/>
          <w:szCs w:val="22"/>
        </w:rPr>
        <w:t>expire after</w:t>
      </w:r>
      <w:r>
        <w:rPr>
          <w:sz w:val="22"/>
          <w:szCs w:val="22"/>
        </w:rPr>
        <w:t xml:space="preserve"> 30 June 2016. </w:t>
      </w:r>
      <w:r w:rsidR="00C2683C">
        <w:rPr>
          <w:sz w:val="22"/>
          <w:szCs w:val="22"/>
        </w:rPr>
        <w:t xml:space="preserve"> </w:t>
      </w:r>
      <w:r w:rsidR="007355D7">
        <w:rPr>
          <w:sz w:val="22"/>
          <w:szCs w:val="22"/>
        </w:rPr>
        <w:t xml:space="preserve">After </w:t>
      </w:r>
      <w:r w:rsidR="007B566A">
        <w:rPr>
          <w:sz w:val="22"/>
          <w:szCs w:val="22"/>
        </w:rPr>
        <w:t>that date</w:t>
      </w:r>
      <w:r w:rsidR="007355D7">
        <w:rPr>
          <w:sz w:val="22"/>
          <w:szCs w:val="22"/>
        </w:rPr>
        <w:t xml:space="preserve">, the cost of any Ministry-funded services to prevent and minimise gambling harm will not be recovered from gambling operators </w:t>
      </w:r>
      <w:r w:rsidR="00743AF4">
        <w:rPr>
          <w:sz w:val="22"/>
          <w:szCs w:val="22"/>
        </w:rPr>
        <w:t xml:space="preserve">unless and </w:t>
      </w:r>
      <w:r w:rsidR="007355D7">
        <w:rPr>
          <w:sz w:val="22"/>
          <w:szCs w:val="22"/>
        </w:rPr>
        <w:t>until a refreshed strategy and new levy regulations are put in place</w:t>
      </w:r>
      <w:r w:rsidR="00B14FE3">
        <w:rPr>
          <w:sz w:val="22"/>
          <w:szCs w:val="22"/>
        </w:rPr>
        <w:t xml:space="preserve">. </w:t>
      </w:r>
    </w:p>
    <w:p w:rsidR="00B14FE3" w:rsidRDefault="00B14FE3" w:rsidP="007355D7">
      <w:pPr>
        <w:rPr>
          <w:sz w:val="22"/>
          <w:szCs w:val="22"/>
        </w:rPr>
      </w:pPr>
    </w:p>
    <w:p w:rsidR="00640D1B" w:rsidRPr="007F3723" w:rsidRDefault="00282949" w:rsidP="007355D7">
      <w:pPr>
        <w:numPr>
          <w:ilvl w:val="0"/>
          <w:numId w:val="41"/>
        </w:numPr>
        <w:ind w:left="567" w:hanging="567"/>
        <w:rPr>
          <w:sz w:val="22"/>
          <w:szCs w:val="22"/>
        </w:rPr>
      </w:pPr>
      <w:r>
        <w:rPr>
          <w:sz w:val="22"/>
          <w:szCs w:val="22"/>
        </w:rPr>
        <w:t xml:space="preserve">If a </w:t>
      </w:r>
      <w:r w:rsidR="004249B0">
        <w:rPr>
          <w:sz w:val="22"/>
          <w:szCs w:val="22"/>
        </w:rPr>
        <w:t>refreshed</w:t>
      </w:r>
      <w:r>
        <w:rPr>
          <w:sz w:val="22"/>
          <w:szCs w:val="22"/>
        </w:rPr>
        <w:t xml:space="preserve"> strategy and </w:t>
      </w:r>
      <w:r w:rsidR="004249B0">
        <w:rPr>
          <w:sz w:val="22"/>
          <w:szCs w:val="22"/>
        </w:rPr>
        <w:t xml:space="preserve">new </w:t>
      </w:r>
      <w:r>
        <w:rPr>
          <w:sz w:val="22"/>
          <w:szCs w:val="22"/>
        </w:rPr>
        <w:t xml:space="preserve">levy </w:t>
      </w:r>
      <w:r w:rsidR="004249B0">
        <w:rPr>
          <w:sz w:val="22"/>
          <w:szCs w:val="22"/>
        </w:rPr>
        <w:t xml:space="preserve">regulations </w:t>
      </w:r>
      <w:r>
        <w:rPr>
          <w:sz w:val="22"/>
          <w:szCs w:val="22"/>
        </w:rPr>
        <w:t xml:space="preserve">are to be put in place, the Government must make </w:t>
      </w:r>
      <w:r w:rsidR="00DB06ED">
        <w:rPr>
          <w:sz w:val="22"/>
          <w:szCs w:val="22"/>
        </w:rPr>
        <w:t>three</w:t>
      </w:r>
      <w:r>
        <w:rPr>
          <w:sz w:val="22"/>
          <w:szCs w:val="22"/>
        </w:rPr>
        <w:t xml:space="preserve"> </w:t>
      </w:r>
      <w:r w:rsidR="00DB06ED">
        <w:rPr>
          <w:sz w:val="22"/>
          <w:szCs w:val="22"/>
        </w:rPr>
        <w:t>key</w:t>
      </w:r>
      <w:r>
        <w:rPr>
          <w:sz w:val="22"/>
          <w:szCs w:val="22"/>
        </w:rPr>
        <w:t xml:space="preserve"> decisions: </w:t>
      </w:r>
    </w:p>
    <w:p w:rsidR="004249B0" w:rsidRDefault="004249B0" w:rsidP="00D62008">
      <w:pPr>
        <w:numPr>
          <w:ilvl w:val="0"/>
          <w:numId w:val="13"/>
        </w:numPr>
        <w:spacing w:before="120"/>
        <w:ind w:left="992" w:hanging="425"/>
        <w:rPr>
          <w:sz w:val="22"/>
          <w:szCs w:val="22"/>
        </w:rPr>
      </w:pPr>
      <w:r>
        <w:rPr>
          <w:sz w:val="22"/>
          <w:szCs w:val="22"/>
        </w:rPr>
        <w:t>the amount to be appropriated to the Ministry for its Strategy to Prevent and Minimise Gambling Harm for 2016/17 to 2018/19 (the total levy requirement is derived by adding a net under-recovery of levy in previous levy periods to the amount of the Ministry’s appropriation)</w:t>
      </w:r>
    </w:p>
    <w:p w:rsidR="004249B0" w:rsidRDefault="004249B0" w:rsidP="00D62008">
      <w:pPr>
        <w:numPr>
          <w:ilvl w:val="0"/>
          <w:numId w:val="13"/>
        </w:numPr>
        <w:spacing w:before="120"/>
        <w:ind w:left="992" w:hanging="425"/>
        <w:rPr>
          <w:sz w:val="22"/>
          <w:szCs w:val="22"/>
        </w:rPr>
      </w:pPr>
      <w:r>
        <w:rPr>
          <w:sz w:val="22"/>
          <w:szCs w:val="22"/>
        </w:rPr>
        <w:t>which gambling sectors will pay the levy</w:t>
      </w:r>
    </w:p>
    <w:p w:rsidR="004249B0" w:rsidRPr="00F633F1" w:rsidRDefault="004249B0" w:rsidP="00D62008">
      <w:pPr>
        <w:numPr>
          <w:ilvl w:val="0"/>
          <w:numId w:val="13"/>
        </w:numPr>
        <w:spacing w:before="120"/>
        <w:ind w:left="992" w:hanging="425"/>
        <w:rPr>
          <w:sz w:val="22"/>
          <w:szCs w:val="22"/>
        </w:rPr>
      </w:pPr>
      <w:r>
        <w:rPr>
          <w:sz w:val="22"/>
          <w:szCs w:val="22"/>
        </w:rPr>
        <w:t xml:space="preserve">what </w:t>
      </w:r>
      <w:r w:rsidRPr="00F633F1">
        <w:rPr>
          <w:sz w:val="22"/>
          <w:szCs w:val="22"/>
        </w:rPr>
        <w:t xml:space="preserve">weighting </w:t>
      </w:r>
      <w:r>
        <w:rPr>
          <w:sz w:val="22"/>
          <w:szCs w:val="22"/>
        </w:rPr>
        <w:t>between player expenditure and help-seeking to use in the Act’s formula for calculating each sector’s levy rate</w:t>
      </w:r>
      <w:r w:rsidRPr="00F633F1">
        <w:rPr>
          <w:sz w:val="22"/>
          <w:szCs w:val="22"/>
        </w:rPr>
        <w:t>.</w:t>
      </w:r>
    </w:p>
    <w:p w:rsidR="00DF008B" w:rsidRPr="00BE20EB" w:rsidRDefault="00DF008B" w:rsidP="00DF008B">
      <w:pPr>
        <w:rPr>
          <w:sz w:val="22"/>
          <w:szCs w:val="22"/>
        </w:rPr>
      </w:pPr>
    </w:p>
    <w:p w:rsidR="00C86248" w:rsidRPr="00BE20EB" w:rsidRDefault="007355D7" w:rsidP="00BE20EB">
      <w:pPr>
        <w:pStyle w:val="Heading1"/>
      </w:pPr>
      <w:r w:rsidRPr="00BE20EB">
        <w:rPr>
          <w:sz w:val="22"/>
          <w:szCs w:val="22"/>
        </w:rPr>
        <w:br w:type="page"/>
      </w:r>
      <w:bookmarkStart w:id="9" w:name="_Toc440029214"/>
      <w:r w:rsidR="00DA75C1" w:rsidRPr="00BE20EB">
        <w:lastRenderedPageBreak/>
        <w:t>Status quo</w:t>
      </w:r>
      <w:bookmarkEnd w:id="9"/>
    </w:p>
    <w:p w:rsidR="0005348A" w:rsidRPr="00B77D78" w:rsidRDefault="0005348A" w:rsidP="0005348A">
      <w:pPr>
        <w:pStyle w:val="Heading2"/>
      </w:pPr>
      <w:bookmarkStart w:id="10" w:name="_Toc259613860"/>
      <w:bookmarkStart w:id="11" w:name="_Toc440029215"/>
      <w:bookmarkStart w:id="12" w:name="_Toc259613857"/>
      <w:r>
        <w:t>Key features</w:t>
      </w:r>
      <w:r w:rsidRPr="00B77D78">
        <w:t xml:space="preserve"> of gambling in New Zealand</w:t>
      </w:r>
      <w:bookmarkEnd w:id="10"/>
      <w:bookmarkEnd w:id="11"/>
    </w:p>
    <w:p w:rsidR="00764EF7" w:rsidRPr="0008483D" w:rsidRDefault="00764EF7" w:rsidP="006D48A1">
      <w:pPr>
        <w:numPr>
          <w:ilvl w:val="0"/>
          <w:numId w:val="41"/>
        </w:numPr>
        <w:ind w:left="567" w:hanging="567"/>
        <w:rPr>
          <w:sz w:val="22"/>
          <w:szCs w:val="22"/>
        </w:rPr>
      </w:pPr>
      <w:bookmarkStart w:id="13" w:name="_Toc228684263"/>
      <w:r>
        <w:rPr>
          <w:sz w:val="22"/>
          <w:szCs w:val="22"/>
        </w:rPr>
        <w:t xml:space="preserve">The sections below summarise key features of the gambling environment in New Zealand. </w:t>
      </w:r>
      <w:r w:rsidR="00C2683C">
        <w:rPr>
          <w:sz w:val="22"/>
          <w:szCs w:val="22"/>
        </w:rPr>
        <w:t xml:space="preserve"> </w:t>
      </w:r>
      <w:r w:rsidR="00CA2C7A">
        <w:rPr>
          <w:sz w:val="22"/>
          <w:szCs w:val="22"/>
        </w:rPr>
        <w:t xml:space="preserve">There is </w:t>
      </w:r>
      <w:r w:rsidR="009755F7">
        <w:rPr>
          <w:sz w:val="22"/>
          <w:szCs w:val="22"/>
        </w:rPr>
        <w:t xml:space="preserve">more detail </w:t>
      </w:r>
      <w:r>
        <w:rPr>
          <w:sz w:val="22"/>
          <w:szCs w:val="22"/>
        </w:rPr>
        <w:t xml:space="preserve">in </w:t>
      </w:r>
      <w:r w:rsidR="005A3184">
        <w:rPr>
          <w:sz w:val="22"/>
          <w:szCs w:val="22"/>
        </w:rPr>
        <w:t xml:space="preserve">the Ministry’s Strategy to Prevent and Minimise Gambling Harm for 2016/17 to 2018/19, and in </w:t>
      </w:r>
      <w:r w:rsidR="009755F7">
        <w:rPr>
          <w:sz w:val="22"/>
          <w:szCs w:val="22"/>
        </w:rPr>
        <w:t xml:space="preserve">Allen and Clarke (2015a), Ministry of Health (2015a) and </w:t>
      </w:r>
      <w:r>
        <w:rPr>
          <w:sz w:val="22"/>
          <w:szCs w:val="22"/>
        </w:rPr>
        <w:t xml:space="preserve">section 1.1.1 of </w:t>
      </w:r>
      <w:r w:rsidR="009755F7">
        <w:rPr>
          <w:sz w:val="22"/>
          <w:szCs w:val="22"/>
        </w:rPr>
        <w:t>Ministry of Health (2015c).</w:t>
      </w:r>
      <w:r>
        <w:rPr>
          <w:sz w:val="22"/>
          <w:szCs w:val="22"/>
        </w:rPr>
        <w:t xml:space="preserve"> </w:t>
      </w:r>
      <w:r w:rsidR="005328E8">
        <w:rPr>
          <w:sz w:val="22"/>
          <w:szCs w:val="22"/>
        </w:rPr>
        <w:t>The references section at the end of this Regulatory Impact Statement sets out full citations for these documents.</w:t>
      </w:r>
    </w:p>
    <w:p w:rsidR="0005348A" w:rsidRPr="00B77D78" w:rsidRDefault="0005348A" w:rsidP="0005348A">
      <w:pPr>
        <w:pStyle w:val="Heading3"/>
      </w:pPr>
      <w:r w:rsidRPr="00B77D78">
        <w:t>Participation</w:t>
      </w:r>
      <w:bookmarkEnd w:id="13"/>
      <w:r w:rsidRPr="00B77D78">
        <w:t xml:space="preserve"> in gambling</w:t>
      </w:r>
    </w:p>
    <w:p w:rsidR="005E43A7" w:rsidRPr="00BE20EB" w:rsidRDefault="00BA5EB6" w:rsidP="006D48A1">
      <w:pPr>
        <w:numPr>
          <w:ilvl w:val="0"/>
          <w:numId w:val="41"/>
        </w:numPr>
        <w:ind w:left="567" w:hanging="567"/>
        <w:rPr>
          <w:sz w:val="22"/>
          <w:szCs w:val="22"/>
        </w:rPr>
      </w:pPr>
      <w:r w:rsidRPr="00BE20EB">
        <w:rPr>
          <w:sz w:val="22"/>
          <w:szCs w:val="22"/>
        </w:rPr>
        <w:t>M</w:t>
      </w:r>
      <w:r w:rsidR="00B967F2" w:rsidRPr="00BE20EB">
        <w:rPr>
          <w:sz w:val="22"/>
          <w:szCs w:val="22"/>
        </w:rPr>
        <w:t>ost adults in New Zealand gamble at least occasionally</w:t>
      </w:r>
      <w:r w:rsidRPr="00BE20EB">
        <w:rPr>
          <w:sz w:val="22"/>
          <w:szCs w:val="22"/>
        </w:rPr>
        <w:t>.</w:t>
      </w:r>
      <w:r w:rsidR="009755F7" w:rsidRPr="00BE20EB">
        <w:rPr>
          <w:sz w:val="22"/>
          <w:szCs w:val="22"/>
        </w:rPr>
        <w:t xml:space="preserve"> </w:t>
      </w:r>
      <w:r w:rsidRPr="00BE20EB">
        <w:rPr>
          <w:sz w:val="22"/>
          <w:szCs w:val="22"/>
        </w:rPr>
        <w:t>However, only a minority participate in any gambling activity other than buying New Zealand Lotteries Commission products</w:t>
      </w:r>
      <w:r w:rsidR="00464496" w:rsidRPr="00BE20EB">
        <w:rPr>
          <w:sz w:val="22"/>
          <w:szCs w:val="22"/>
        </w:rPr>
        <w:t xml:space="preserve"> or raffle tickets</w:t>
      </w:r>
      <w:r w:rsidRPr="00BE20EB">
        <w:rPr>
          <w:sz w:val="22"/>
          <w:szCs w:val="22"/>
        </w:rPr>
        <w:t>.</w:t>
      </w:r>
      <w:r w:rsidR="009755F7" w:rsidRPr="00BE20EB">
        <w:rPr>
          <w:sz w:val="22"/>
          <w:szCs w:val="22"/>
        </w:rPr>
        <w:t xml:space="preserve"> </w:t>
      </w:r>
      <w:r w:rsidR="005E43A7" w:rsidRPr="00BE20EB">
        <w:rPr>
          <w:sz w:val="22"/>
          <w:szCs w:val="22"/>
        </w:rPr>
        <w:t>For example, the 2012 National Gambling Study (NGS)</w:t>
      </w:r>
      <w:r w:rsidR="005E43A7" w:rsidRPr="00BE20EB">
        <w:rPr>
          <w:rStyle w:val="FootnoteReference"/>
          <w:sz w:val="22"/>
          <w:szCs w:val="22"/>
        </w:rPr>
        <w:footnoteReference w:id="1"/>
      </w:r>
      <w:r w:rsidR="005E43A7" w:rsidRPr="00BE20EB">
        <w:rPr>
          <w:sz w:val="22"/>
          <w:szCs w:val="22"/>
        </w:rPr>
        <w:t xml:space="preserve"> (Abbott</w:t>
      </w:r>
      <w:r w:rsidR="00464496" w:rsidRPr="00BE20EB">
        <w:rPr>
          <w:sz w:val="22"/>
          <w:szCs w:val="22"/>
        </w:rPr>
        <w:t> </w:t>
      </w:r>
      <w:r w:rsidR="005E43A7" w:rsidRPr="00BE20EB">
        <w:rPr>
          <w:sz w:val="22"/>
          <w:szCs w:val="22"/>
        </w:rPr>
        <w:t xml:space="preserve">et al 2014c) </w:t>
      </w:r>
      <w:r w:rsidR="00E430D8" w:rsidRPr="00BE20EB">
        <w:rPr>
          <w:sz w:val="22"/>
          <w:szCs w:val="22"/>
        </w:rPr>
        <w:t>estimated</w:t>
      </w:r>
      <w:r w:rsidR="005E43A7" w:rsidRPr="00BE20EB">
        <w:rPr>
          <w:sz w:val="22"/>
          <w:szCs w:val="22"/>
        </w:rPr>
        <w:t xml:space="preserve"> that 62 percent of adults bought a Lotto ticket at least once in the previous year, but only:</w:t>
      </w:r>
    </w:p>
    <w:p w:rsidR="005E43A7" w:rsidRPr="00BE20EB" w:rsidRDefault="005E43A7" w:rsidP="00D62008">
      <w:pPr>
        <w:numPr>
          <w:ilvl w:val="0"/>
          <w:numId w:val="13"/>
        </w:numPr>
        <w:spacing w:before="120"/>
        <w:ind w:left="992" w:hanging="425"/>
        <w:rPr>
          <w:sz w:val="22"/>
          <w:szCs w:val="22"/>
        </w:rPr>
      </w:pPr>
      <w:r w:rsidRPr="00BE20EB">
        <w:rPr>
          <w:sz w:val="22"/>
          <w:szCs w:val="22"/>
        </w:rPr>
        <w:t>14 percent played a non-casino gaming machine (NCGM) at least once</w:t>
      </w:r>
    </w:p>
    <w:p w:rsidR="005E43A7" w:rsidRPr="00BE20EB" w:rsidRDefault="005E43A7" w:rsidP="00D62008">
      <w:pPr>
        <w:numPr>
          <w:ilvl w:val="0"/>
          <w:numId w:val="13"/>
        </w:numPr>
        <w:spacing w:before="120"/>
        <w:ind w:left="992" w:hanging="425"/>
        <w:rPr>
          <w:sz w:val="22"/>
          <w:szCs w:val="22"/>
        </w:rPr>
      </w:pPr>
      <w:r w:rsidRPr="00BE20EB">
        <w:rPr>
          <w:sz w:val="22"/>
          <w:szCs w:val="22"/>
        </w:rPr>
        <w:t>12 percent bet on a horse or dog race at least once</w:t>
      </w:r>
    </w:p>
    <w:p w:rsidR="005E43A7" w:rsidRPr="00BE20EB" w:rsidRDefault="005E43A7" w:rsidP="00D62008">
      <w:pPr>
        <w:numPr>
          <w:ilvl w:val="0"/>
          <w:numId w:val="13"/>
        </w:numPr>
        <w:spacing w:before="120"/>
        <w:ind w:left="992" w:hanging="425"/>
        <w:rPr>
          <w:sz w:val="22"/>
          <w:szCs w:val="22"/>
        </w:rPr>
      </w:pPr>
      <w:r w:rsidRPr="00BE20EB">
        <w:rPr>
          <w:sz w:val="22"/>
          <w:szCs w:val="22"/>
        </w:rPr>
        <w:t>8 percent played a casino gaming machine in New Zealand at least once</w:t>
      </w:r>
    </w:p>
    <w:p w:rsidR="005E43A7" w:rsidRPr="00BE20EB" w:rsidRDefault="005E43A7" w:rsidP="00D62008">
      <w:pPr>
        <w:numPr>
          <w:ilvl w:val="0"/>
          <w:numId w:val="13"/>
        </w:numPr>
        <w:spacing w:before="120"/>
        <w:ind w:left="992" w:hanging="425"/>
        <w:rPr>
          <w:sz w:val="22"/>
          <w:szCs w:val="22"/>
        </w:rPr>
      </w:pPr>
      <w:r w:rsidRPr="00BE20EB">
        <w:rPr>
          <w:sz w:val="22"/>
          <w:szCs w:val="22"/>
        </w:rPr>
        <w:t>5 percent bet on a sports event at least once</w:t>
      </w:r>
    </w:p>
    <w:p w:rsidR="005E43A7" w:rsidRPr="00BE20EB" w:rsidRDefault="005E43A7" w:rsidP="00D62008">
      <w:pPr>
        <w:numPr>
          <w:ilvl w:val="0"/>
          <w:numId w:val="13"/>
        </w:numPr>
        <w:spacing w:before="120"/>
        <w:ind w:left="992" w:hanging="425"/>
        <w:rPr>
          <w:sz w:val="22"/>
          <w:szCs w:val="22"/>
        </w:rPr>
      </w:pPr>
      <w:r w:rsidRPr="00BE20EB">
        <w:rPr>
          <w:sz w:val="22"/>
          <w:szCs w:val="22"/>
        </w:rPr>
        <w:t>4 percent played a casino table game in New Zealand at least once.</w:t>
      </w:r>
    </w:p>
    <w:p w:rsidR="005E43A7" w:rsidRPr="00BE20EB" w:rsidRDefault="005E43A7" w:rsidP="005E43A7">
      <w:pPr>
        <w:pStyle w:val="Bullet"/>
        <w:numPr>
          <w:ilvl w:val="0"/>
          <w:numId w:val="0"/>
        </w:numPr>
        <w:spacing w:before="0"/>
        <w:rPr>
          <w:sz w:val="22"/>
          <w:szCs w:val="22"/>
        </w:rPr>
      </w:pPr>
    </w:p>
    <w:p w:rsidR="005E43A7" w:rsidRPr="00BE20EB" w:rsidRDefault="005E43A7" w:rsidP="006D48A1">
      <w:pPr>
        <w:numPr>
          <w:ilvl w:val="0"/>
          <w:numId w:val="41"/>
        </w:numPr>
        <w:ind w:left="567" w:hanging="567"/>
        <w:rPr>
          <w:sz w:val="22"/>
          <w:szCs w:val="22"/>
        </w:rPr>
      </w:pPr>
      <w:r w:rsidRPr="00BE20EB">
        <w:rPr>
          <w:sz w:val="22"/>
          <w:szCs w:val="22"/>
        </w:rPr>
        <w:t>Differences among gambling activities are more pronounced when frequency of participation is considered. For example, the 2012 NGS estimated that 17 percent of adults bought a Lotto ticket at least once a week, but it also estimated that only 1.5 percent played an NCGM this frequently.</w:t>
      </w:r>
    </w:p>
    <w:p w:rsidR="005E43A7" w:rsidRPr="00BE20EB" w:rsidRDefault="005E43A7" w:rsidP="006D48A1">
      <w:pPr>
        <w:pStyle w:val="Bullet"/>
        <w:numPr>
          <w:ilvl w:val="0"/>
          <w:numId w:val="0"/>
        </w:numPr>
        <w:spacing w:before="0"/>
        <w:rPr>
          <w:sz w:val="22"/>
          <w:szCs w:val="22"/>
        </w:rPr>
      </w:pPr>
    </w:p>
    <w:p w:rsidR="005E43A7" w:rsidRPr="00BE20EB" w:rsidRDefault="005E43A7" w:rsidP="006D48A1">
      <w:pPr>
        <w:numPr>
          <w:ilvl w:val="0"/>
          <w:numId w:val="41"/>
        </w:numPr>
        <w:ind w:left="567" w:hanging="567"/>
        <w:rPr>
          <w:sz w:val="22"/>
          <w:szCs w:val="22"/>
        </w:rPr>
      </w:pPr>
      <w:r w:rsidRPr="00BE20EB">
        <w:rPr>
          <w:sz w:val="22"/>
          <w:szCs w:val="22"/>
        </w:rPr>
        <w:t>Gambling participation has fallen, and frequent participation in riskier forms of gambling has fallen markedly, since the 1990s. For example, the 1991 national survey (Abbott and Volberg 1991) estimated that 18 percent of adults participated at least once a week in continuous forms of gambling</w:t>
      </w:r>
      <w:r w:rsidR="00E27FA6" w:rsidRPr="00BE20EB">
        <w:rPr>
          <w:rStyle w:val="FootnoteReference"/>
          <w:sz w:val="22"/>
          <w:szCs w:val="22"/>
        </w:rPr>
        <w:footnoteReference w:id="2"/>
      </w:r>
      <w:r w:rsidRPr="00BE20EB">
        <w:rPr>
          <w:sz w:val="22"/>
          <w:szCs w:val="22"/>
        </w:rPr>
        <w:t>, while the equivalent 2012 NGS estimate was 6 percent. As another example, the Department of Internal Affairs (DIA) 1990 participation and attitudes survey estimated that 5 percent of adults played an NCGM at least once a week, while the equivalent figure in the last such survey in 2005 was 3 percent (both surveys discussed in DIA 2008), and the 2012 NGS estimate was 1.5 percent. However, results from recent iterations of the New Zealand Health and Lifestyles Survey (HLS) suggest that these downward trends might have slowed or levelled off (Tu and Puthipiroj, in press).</w:t>
      </w:r>
    </w:p>
    <w:p w:rsidR="005E43A7" w:rsidRPr="00BE20EB" w:rsidRDefault="005E43A7" w:rsidP="006D48A1">
      <w:pPr>
        <w:pStyle w:val="Bullet"/>
        <w:numPr>
          <w:ilvl w:val="0"/>
          <w:numId w:val="0"/>
        </w:numPr>
        <w:spacing w:before="0"/>
        <w:rPr>
          <w:sz w:val="22"/>
          <w:szCs w:val="22"/>
        </w:rPr>
      </w:pPr>
    </w:p>
    <w:p w:rsidR="005E43A7" w:rsidRPr="00BE20EB" w:rsidRDefault="005E43A7" w:rsidP="006D48A1">
      <w:pPr>
        <w:numPr>
          <w:ilvl w:val="0"/>
          <w:numId w:val="41"/>
        </w:numPr>
        <w:ind w:left="567" w:hanging="567"/>
        <w:rPr>
          <w:sz w:val="22"/>
          <w:szCs w:val="22"/>
        </w:rPr>
      </w:pPr>
      <w:r w:rsidRPr="00BE20EB">
        <w:rPr>
          <w:sz w:val="22"/>
          <w:szCs w:val="22"/>
        </w:rPr>
        <w:t>The 2012 NGS also indicated that the percentage of adults participating in more than three different gambling activities at least once during the previous year (another risky gambling behaviour) has fallen since the 1990s. Once again, however, recent iterations of the HLS suggest that this downward trend might have slowed or levelled off.</w:t>
      </w:r>
    </w:p>
    <w:p w:rsidR="00F95701" w:rsidRPr="00F95701" w:rsidRDefault="00F95701" w:rsidP="006D48A1">
      <w:pPr>
        <w:rPr>
          <w:sz w:val="22"/>
          <w:szCs w:val="22"/>
        </w:rPr>
      </w:pPr>
    </w:p>
    <w:p w:rsidR="0005348A" w:rsidRPr="00B77D78" w:rsidRDefault="00B967F2" w:rsidP="0005348A">
      <w:pPr>
        <w:pStyle w:val="Heading3"/>
      </w:pPr>
      <w:bookmarkStart w:id="14" w:name="_Toc228684264"/>
      <w:r>
        <w:lastRenderedPageBreak/>
        <w:t>E</w:t>
      </w:r>
      <w:r w:rsidR="0005348A" w:rsidRPr="00B77D78">
        <w:t>xpenditure</w:t>
      </w:r>
      <w:bookmarkEnd w:id="14"/>
      <w:r>
        <w:t xml:space="preserve"> on gambling</w:t>
      </w:r>
    </w:p>
    <w:p w:rsidR="00AC675D" w:rsidRPr="001C0951" w:rsidRDefault="00AC675D" w:rsidP="006D48A1">
      <w:pPr>
        <w:numPr>
          <w:ilvl w:val="0"/>
          <w:numId w:val="41"/>
        </w:numPr>
        <w:ind w:left="567" w:hanging="567"/>
        <w:rPr>
          <w:sz w:val="22"/>
          <w:szCs w:val="22"/>
        </w:rPr>
      </w:pPr>
      <w:r w:rsidRPr="001C0951">
        <w:rPr>
          <w:sz w:val="22"/>
          <w:szCs w:val="22"/>
        </w:rPr>
        <w:t>E</w:t>
      </w:r>
      <w:r w:rsidR="007F41C4" w:rsidRPr="001C0951">
        <w:rPr>
          <w:sz w:val="22"/>
          <w:szCs w:val="22"/>
        </w:rPr>
        <w:t xml:space="preserve">xpenditure </w:t>
      </w:r>
      <w:r w:rsidRPr="001C0951">
        <w:rPr>
          <w:sz w:val="22"/>
          <w:szCs w:val="22"/>
        </w:rPr>
        <w:t xml:space="preserve">on gambling refers to </w:t>
      </w:r>
      <w:r w:rsidR="0092019D" w:rsidRPr="001C0951">
        <w:rPr>
          <w:sz w:val="22"/>
          <w:szCs w:val="22"/>
        </w:rPr>
        <w:t xml:space="preserve">the amount spent (lost) by </w:t>
      </w:r>
      <w:r w:rsidR="005E4D8B" w:rsidRPr="001C0951">
        <w:rPr>
          <w:sz w:val="22"/>
          <w:szCs w:val="22"/>
        </w:rPr>
        <w:t>participants</w:t>
      </w:r>
      <w:r w:rsidR="0092019D" w:rsidRPr="001C0951">
        <w:rPr>
          <w:sz w:val="22"/>
          <w:szCs w:val="22"/>
        </w:rPr>
        <w:t xml:space="preserve">. </w:t>
      </w:r>
      <w:r w:rsidR="00BC6C6A" w:rsidRPr="001C0951">
        <w:rPr>
          <w:sz w:val="22"/>
          <w:szCs w:val="22"/>
        </w:rPr>
        <w:t>It</w:t>
      </w:r>
      <w:r w:rsidR="00226AB6" w:rsidRPr="001C0951">
        <w:rPr>
          <w:sz w:val="22"/>
          <w:szCs w:val="22"/>
        </w:rPr>
        <w:t xml:space="preserve"> is</w:t>
      </w:r>
      <w:r w:rsidR="005E4D8B" w:rsidRPr="001C0951">
        <w:rPr>
          <w:sz w:val="22"/>
          <w:szCs w:val="22"/>
        </w:rPr>
        <w:t xml:space="preserve"> </w:t>
      </w:r>
      <w:r w:rsidR="0092019D" w:rsidRPr="001C0951">
        <w:rPr>
          <w:sz w:val="22"/>
          <w:szCs w:val="22"/>
        </w:rPr>
        <w:t>also each operator’s gross profit</w:t>
      </w:r>
      <w:r w:rsidR="00F82029" w:rsidRPr="001C0951">
        <w:rPr>
          <w:sz w:val="22"/>
          <w:szCs w:val="22"/>
        </w:rPr>
        <w:t xml:space="preserve"> from </w:t>
      </w:r>
      <w:r w:rsidR="003F66B9" w:rsidRPr="001C0951">
        <w:rPr>
          <w:sz w:val="22"/>
          <w:szCs w:val="22"/>
        </w:rPr>
        <w:t>its</w:t>
      </w:r>
      <w:r w:rsidR="00F82029" w:rsidRPr="001C0951">
        <w:rPr>
          <w:sz w:val="22"/>
          <w:szCs w:val="22"/>
        </w:rPr>
        <w:t xml:space="preserve"> gambling products</w:t>
      </w:r>
      <w:r w:rsidR="0092019D" w:rsidRPr="001C0951">
        <w:rPr>
          <w:sz w:val="22"/>
          <w:szCs w:val="22"/>
        </w:rPr>
        <w:t xml:space="preserve">. </w:t>
      </w:r>
    </w:p>
    <w:p w:rsidR="00AC675D" w:rsidRPr="001C0951" w:rsidRDefault="00AC675D" w:rsidP="006D48A1">
      <w:pPr>
        <w:rPr>
          <w:sz w:val="22"/>
          <w:szCs w:val="22"/>
        </w:rPr>
      </w:pPr>
    </w:p>
    <w:p w:rsidR="005F4F1A" w:rsidRDefault="005F4F1A" w:rsidP="006D48A1">
      <w:pPr>
        <w:numPr>
          <w:ilvl w:val="0"/>
          <w:numId w:val="41"/>
        </w:numPr>
        <w:ind w:left="567" w:hanging="567"/>
        <w:rPr>
          <w:sz w:val="22"/>
          <w:szCs w:val="22"/>
        </w:rPr>
      </w:pPr>
      <w:r>
        <w:rPr>
          <w:sz w:val="22"/>
          <w:szCs w:val="22"/>
        </w:rPr>
        <w:t>C</w:t>
      </w:r>
      <w:r w:rsidRPr="001C0951">
        <w:rPr>
          <w:sz w:val="22"/>
          <w:szCs w:val="22"/>
        </w:rPr>
        <w:t xml:space="preserve">omparing gambling participation and expenditure information </w:t>
      </w:r>
      <w:r>
        <w:rPr>
          <w:sz w:val="22"/>
          <w:szCs w:val="22"/>
        </w:rPr>
        <w:t>(and bearing in mind that most casino gambling expenditure relates to gaming machines), shows</w:t>
      </w:r>
      <w:r w:rsidRPr="001C0951">
        <w:rPr>
          <w:sz w:val="22"/>
          <w:szCs w:val="22"/>
        </w:rPr>
        <w:t xml:space="preserve"> </w:t>
      </w:r>
      <w:r>
        <w:rPr>
          <w:sz w:val="22"/>
          <w:szCs w:val="22"/>
        </w:rPr>
        <w:t>that</w:t>
      </w:r>
      <w:r w:rsidRPr="001C0951">
        <w:rPr>
          <w:sz w:val="22"/>
          <w:szCs w:val="22"/>
        </w:rPr>
        <w:t xml:space="preserve"> most of the money spent gambling in New Zealand comes from the relatively limited number of people who play non-casino </w:t>
      </w:r>
      <w:r>
        <w:rPr>
          <w:sz w:val="22"/>
          <w:szCs w:val="22"/>
        </w:rPr>
        <w:t xml:space="preserve">gaming machines </w:t>
      </w:r>
      <w:r w:rsidRPr="001C0951">
        <w:rPr>
          <w:sz w:val="22"/>
          <w:szCs w:val="22"/>
        </w:rPr>
        <w:t>or casino gaming machines, or both. This has been the case for more than a decade.</w:t>
      </w:r>
    </w:p>
    <w:p w:rsidR="005F4F1A" w:rsidRDefault="005F4F1A" w:rsidP="005F4F1A">
      <w:pPr>
        <w:rPr>
          <w:sz w:val="22"/>
          <w:szCs w:val="22"/>
        </w:rPr>
      </w:pPr>
    </w:p>
    <w:p w:rsidR="008E4E46" w:rsidRPr="001C0951" w:rsidRDefault="003F66B9" w:rsidP="006D48A1">
      <w:pPr>
        <w:numPr>
          <w:ilvl w:val="0"/>
          <w:numId w:val="41"/>
        </w:numPr>
        <w:ind w:left="567" w:hanging="567"/>
        <w:rPr>
          <w:sz w:val="22"/>
          <w:szCs w:val="22"/>
        </w:rPr>
      </w:pPr>
      <w:r w:rsidRPr="001C0951">
        <w:rPr>
          <w:sz w:val="22"/>
          <w:szCs w:val="22"/>
        </w:rPr>
        <w:t>Most provisions of the Gambling Act 2003 came into force on 1 July 2004.  DIA’s figures</w:t>
      </w:r>
      <w:r w:rsidR="00F82029" w:rsidRPr="001C0951">
        <w:rPr>
          <w:sz w:val="22"/>
          <w:szCs w:val="22"/>
        </w:rPr>
        <w:t xml:space="preserve"> indicate that t</w:t>
      </w:r>
      <w:r w:rsidR="00902B09" w:rsidRPr="001C0951">
        <w:rPr>
          <w:sz w:val="22"/>
          <w:szCs w:val="22"/>
        </w:rPr>
        <w:t xml:space="preserve">otal expenditure </w:t>
      </w:r>
      <w:r w:rsidR="00E27FA6">
        <w:rPr>
          <w:sz w:val="22"/>
          <w:szCs w:val="22"/>
        </w:rPr>
        <w:t>across</w:t>
      </w:r>
      <w:r w:rsidR="00902B09" w:rsidRPr="001C0951">
        <w:rPr>
          <w:sz w:val="22"/>
          <w:szCs w:val="22"/>
        </w:rPr>
        <w:t xml:space="preserve"> the main gambling sectors increased rapidly from </w:t>
      </w:r>
      <w:r w:rsidRPr="001C0951">
        <w:rPr>
          <w:sz w:val="22"/>
          <w:szCs w:val="22"/>
        </w:rPr>
        <w:t xml:space="preserve">$168 million in 1982/83, when there were only two main sectors (the Golden Kiwi and race betting) </w:t>
      </w:r>
      <w:r w:rsidR="00902B09" w:rsidRPr="001C0951">
        <w:rPr>
          <w:sz w:val="22"/>
          <w:szCs w:val="22"/>
        </w:rPr>
        <w:t xml:space="preserve">to </w:t>
      </w:r>
      <w:r w:rsidRPr="001C0951">
        <w:rPr>
          <w:sz w:val="22"/>
          <w:szCs w:val="22"/>
        </w:rPr>
        <w:t xml:space="preserve">$2.039 billion in </w:t>
      </w:r>
      <w:r w:rsidR="00902B09" w:rsidRPr="001C0951">
        <w:rPr>
          <w:sz w:val="22"/>
          <w:szCs w:val="22"/>
        </w:rPr>
        <w:t xml:space="preserve">2003/04, </w:t>
      </w:r>
      <w:r w:rsidRPr="001C0951">
        <w:rPr>
          <w:sz w:val="22"/>
          <w:szCs w:val="22"/>
        </w:rPr>
        <w:t>whe</w:t>
      </w:r>
      <w:r w:rsidR="00E27FA6">
        <w:rPr>
          <w:sz w:val="22"/>
          <w:szCs w:val="22"/>
        </w:rPr>
        <w:t>n there were four </w:t>
      </w:r>
      <w:r w:rsidR="00E27FA6">
        <w:rPr>
          <w:sz w:val="22"/>
          <w:szCs w:val="22"/>
        </w:rPr>
        <w:noBreakHyphen/>
        <w:t> </w:t>
      </w:r>
      <w:r w:rsidRPr="001C0951">
        <w:rPr>
          <w:sz w:val="22"/>
          <w:szCs w:val="22"/>
        </w:rPr>
        <w:t>non-casino gaming machines</w:t>
      </w:r>
      <w:r w:rsidR="00E27FA6">
        <w:rPr>
          <w:sz w:val="22"/>
          <w:szCs w:val="22"/>
        </w:rPr>
        <w:t xml:space="preserve"> (NCGMs)</w:t>
      </w:r>
      <w:r w:rsidRPr="001C0951">
        <w:rPr>
          <w:sz w:val="22"/>
          <w:szCs w:val="22"/>
        </w:rPr>
        <w:t>; casinos; the New Zealand Racing Board</w:t>
      </w:r>
      <w:r w:rsidR="00E27FA6">
        <w:rPr>
          <w:sz w:val="22"/>
          <w:szCs w:val="22"/>
        </w:rPr>
        <w:t xml:space="preserve"> (NZRB)</w:t>
      </w:r>
      <w:r w:rsidRPr="001C0951">
        <w:rPr>
          <w:sz w:val="22"/>
          <w:szCs w:val="22"/>
        </w:rPr>
        <w:t>; and the New Zealand Lotteries Commissi</w:t>
      </w:r>
      <w:r w:rsidR="00E27FA6">
        <w:rPr>
          <w:sz w:val="22"/>
          <w:szCs w:val="22"/>
        </w:rPr>
        <w:t>on (NZLC)</w:t>
      </w:r>
      <w:r w:rsidR="00AE7E9B">
        <w:rPr>
          <w:sz w:val="22"/>
          <w:szCs w:val="22"/>
        </w:rPr>
        <w:t xml:space="preserve">.  </w:t>
      </w:r>
      <w:r w:rsidR="00AE7E9B" w:rsidRPr="00CB1910">
        <w:rPr>
          <w:sz w:val="22"/>
          <w:szCs w:val="22"/>
        </w:rPr>
        <w:t>After 2003/04, it levelled off</w:t>
      </w:r>
      <w:r w:rsidR="00902B09" w:rsidRPr="00CB1910">
        <w:rPr>
          <w:sz w:val="22"/>
          <w:szCs w:val="22"/>
        </w:rPr>
        <w:t xml:space="preserve">. </w:t>
      </w:r>
      <w:r w:rsidR="00BA349F" w:rsidRPr="00CB1910">
        <w:rPr>
          <w:sz w:val="22"/>
          <w:szCs w:val="22"/>
        </w:rPr>
        <w:t xml:space="preserve"> I</w:t>
      </w:r>
      <w:r w:rsidRPr="00CB1910">
        <w:rPr>
          <w:sz w:val="22"/>
          <w:szCs w:val="22"/>
        </w:rPr>
        <w:t>n real terms</w:t>
      </w:r>
      <w:r w:rsidR="00AE7E9B" w:rsidRPr="00CB1910">
        <w:rPr>
          <w:sz w:val="22"/>
          <w:szCs w:val="22"/>
        </w:rPr>
        <w:t xml:space="preserve"> </w:t>
      </w:r>
      <w:r w:rsidR="00212D43" w:rsidRPr="00CB1910">
        <w:rPr>
          <w:sz w:val="22"/>
          <w:szCs w:val="22"/>
        </w:rPr>
        <w:t xml:space="preserve">2014/15 </w:t>
      </w:r>
      <w:r w:rsidR="006C37D8" w:rsidRPr="00CB1910">
        <w:rPr>
          <w:sz w:val="22"/>
          <w:szCs w:val="22"/>
        </w:rPr>
        <w:t>expenditure</w:t>
      </w:r>
      <w:r w:rsidRPr="00CB1910">
        <w:rPr>
          <w:sz w:val="22"/>
          <w:szCs w:val="22"/>
        </w:rPr>
        <w:t xml:space="preserve"> of </w:t>
      </w:r>
      <w:r w:rsidR="00212D43" w:rsidRPr="00CB1910">
        <w:rPr>
          <w:sz w:val="22"/>
          <w:szCs w:val="22"/>
        </w:rPr>
        <w:t>$2.091 billion</w:t>
      </w:r>
      <w:r w:rsidRPr="00CB1910">
        <w:rPr>
          <w:sz w:val="22"/>
          <w:szCs w:val="22"/>
        </w:rPr>
        <w:t xml:space="preserve"> was </w:t>
      </w:r>
      <w:r w:rsidR="00AE7E9B" w:rsidRPr="00CB1910">
        <w:rPr>
          <w:sz w:val="22"/>
          <w:szCs w:val="22"/>
        </w:rPr>
        <w:t xml:space="preserve">around </w:t>
      </w:r>
      <w:r w:rsidRPr="00CB1910">
        <w:rPr>
          <w:sz w:val="22"/>
          <w:szCs w:val="22"/>
        </w:rPr>
        <w:t>half a billion dollars below the 2003/04 figure</w:t>
      </w:r>
      <w:r w:rsidR="006C37D8" w:rsidRPr="00CB1910">
        <w:rPr>
          <w:sz w:val="22"/>
          <w:szCs w:val="22"/>
        </w:rPr>
        <w:t>.  However, there has been little variation in the annual figures in real terms since 2009/10</w:t>
      </w:r>
      <w:r w:rsidRPr="00CB1910">
        <w:rPr>
          <w:sz w:val="22"/>
          <w:szCs w:val="22"/>
        </w:rPr>
        <w:t>.</w:t>
      </w:r>
    </w:p>
    <w:p w:rsidR="008E4E46" w:rsidRPr="001C0951" w:rsidRDefault="008E4E46" w:rsidP="006D48A1">
      <w:pPr>
        <w:rPr>
          <w:sz w:val="22"/>
          <w:szCs w:val="22"/>
        </w:rPr>
      </w:pPr>
    </w:p>
    <w:p w:rsidR="001C0951" w:rsidRPr="00CB1910" w:rsidRDefault="001C0951" w:rsidP="006D48A1">
      <w:pPr>
        <w:numPr>
          <w:ilvl w:val="0"/>
          <w:numId w:val="41"/>
        </w:numPr>
        <w:ind w:left="567" w:hanging="567"/>
        <w:rPr>
          <w:sz w:val="22"/>
          <w:szCs w:val="22"/>
        </w:rPr>
      </w:pPr>
      <w:r w:rsidRPr="00CB1910">
        <w:rPr>
          <w:sz w:val="22"/>
          <w:szCs w:val="22"/>
        </w:rPr>
        <w:t>Much of the growth over the past 25 years was attributable to spending on non-casino gaming machines, which were first l</w:t>
      </w:r>
      <w:r w:rsidR="00212D43" w:rsidRPr="00CB1910">
        <w:rPr>
          <w:sz w:val="22"/>
          <w:szCs w:val="22"/>
        </w:rPr>
        <w:t xml:space="preserve">icensed in 1988.  </w:t>
      </w:r>
      <w:r w:rsidRPr="00CB1910">
        <w:rPr>
          <w:sz w:val="22"/>
          <w:szCs w:val="22"/>
        </w:rPr>
        <w:t xml:space="preserve">NCGM spending rose every year, from $107 million in 1990/91 </w:t>
      </w:r>
      <w:r w:rsidR="00212D43" w:rsidRPr="00CB1910">
        <w:rPr>
          <w:sz w:val="22"/>
          <w:szCs w:val="22"/>
        </w:rPr>
        <w:t xml:space="preserve">(the first year for which figures are reported) </w:t>
      </w:r>
      <w:r w:rsidRPr="00CB1910">
        <w:rPr>
          <w:sz w:val="22"/>
          <w:szCs w:val="22"/>
        </w:rPr>
        <w:t>to $1.035 billion in 2003/04, when it accounted for more than half the annual total for the four mai</w:t>
      </w:r>
      <w:r w:rsidR="00AE7E9B" w:rsidRPr="00CB1910">
        <w:rPr>
          <w:sz w:val="22"/>
          <w:szCs w:val="22"/>
        </w:rPr>
        <w:t>n gambling sectors.  Over the 10 years from 2004/05 to 2013/14</w:t>
      </w:r>
      <w:r w:rsidRPr="00CB1910">
        <w:rPr>
          <w:sz w:val="22"/>
          <w:szCs w:val="22"/>
        </w:rPr>
        <w:t xml:space="preserve">, spending in the NCGM sector fell from $1.027 billion to </w:t>
      </w:r>
      <w:r w:rsidR="00AE7E9B" w:rsidRPr="00CB1910">
        <w:rPr>
          <w:sz w:val="22"/>
          <w:szCs w:val="22"/>
        </w:rPr>
        <w:t>$806</w:t>
      </w:r>
      <w:r w:rsidRPr="00CB1910">
        <w:rPr>
          <w:sz w:val="22"/>
          <w:szCs w:val="22"/>
        </w:rPr>
        <w:t> million, even without adjusting for inflation.</w:t>
      </w:r>
      <w:r w:rsidR="00AE7E9B" w:rsidRPr="00CB1910">
        <w:rPr>
          <w:sz w:val="22"/>
          <w:szCs w:val="22"/>
        </w:rPr>
        <w:t xml:space="preserve">  However, spending on NCGMs increased slightly, to $818 million, in 2014/15.</w:t>
      </w:r>
    </w:p>
    <w:p w:rsidR="001C0951" w:rsidRPr="001C0951" w:rsidRDefault="001C0951" w:rsidP="006D48A1">
      <w:pPr>
        <w:rPr>
          <w:sz w:val="22"/>
          <w:szCs w:val="22"/>
        </w:rPr>
      </w:pPr>
    </w:p>
    <w:p w:rsidR="001C0951" w:rsidRPr="005F4F1A" w:rsidRDefault="001C0951" w:rsidP="005F4F1A">
      <w:pPr>
        <w:numPr>
          <w:ilvl w:val="0"/>
          <w:numId w:val="41"/>
        </w:numPr>
        <w:ind w:left="567" w:hanging="567"/>
        <w:rPr>
          <w:sz w:val="22"/>
          <w:szCs w:val="22"/>
        </w:rPr>
      </w:pPr>
      <w:r w:rsidRPr="001C0951">
        <w:rPr>
          <w:sz w:val="22"/>
          <w:szCs w:val="22"/>
        </w:rPr>
        <w:t xml:space="preserve">While NCGM spending has </w:t>
      </w:r>
      <w:r w:rsidR="00AE7E9B">
        <w:rPr>
          <w:sz w:val="22"/>
          <w:szCs w:val="22"/>
        </w:rPr>
        <w:t xml:space="preserve">generally </w:t>
      </w:r>
      <w:r w:rsidRPr="001C0951">
        <w:rPr>
          <w:sz w:val="22"/>
          <w:szCs w:val="22"/>
        </w:rPr>
        <w:t xml:space="preserve">declined </w:t>
      </w:r>
      <w:r w:rsidR="00AE7E9B">
        <w:rPr>
          <w:sz w:val="22"/>
          <w:szCs w:val="22"/>
        </w:rPr>
        <w:t>for more than a</w:t>
      </w:r>
      <w:r w:rsidRPr="001C0951">
        <w:rPr>
          <w:sz w:val="22"/>
          <w:szCs w:val="22"/>
        </w:rPr>
        <w:t xml:space="preserve"> decade, there has been a substantial increase in spending on </w:t>
      </w:r>
      <w:r w:rsidR="00E27FA6">
        <w:rPr>
          <w:sz w:val="22"/>
          <w:szCs w:val="22"/>
        </w:rPr>
        <w:t>N</w:t>
      </w:r>
      <w:r w:rsidR="005328E8">
        <w:rPr>
          <w:sz w:val="22"/>
          <w:szCs w:val="22"/>
        </w:rPr>
        <w:t xml:space="preserve">ew Zealand Lotteries Commission </w:t>
      </w:r>
      <w:r w:rsidRPr="001C0951">
        <w:rPr>
          <w:sz w:val="22"/>
          <w:szCs w:val="22"/>
        </w:rPr>
        <w:t>products</w:t>
      </w:r>
      <w:r w:rsidR="005328E8">
        <w:rPr>
          <w:sz w:val="22"/>
          <w:szCs w:val="22"/>
        </w:rPr>
        <w:t xml:space="preserve"> (primarily Lotto, Powerball, Strike, Keno, and Instant Kiwi)</w:t>
      </w:r>
      <w:r w:rsidRPr="001C0951">
        <w:rPr>
          <w:sz w:val="22"/>
          <w:szCs w:val="22"/>
        </w:rPr>
        <w:t>. There have also been smaller, less consistent, increases in spen</w:t>
      </w:r>
      <w:r w:rsidR="005328E8">
        <w:rPr>
          <w:sz w:val="22"/>
          <w:szCs w:val="22"/>
        </w:rPr>
        <w:t>ding on casino gambling and the New Zealand Racing Board’s betting</w:t>
      </w:r>
      <w:r w:rsidRPr="001C0951">
        <w:rPr>
          <w:sz w:val="22"/>
          <w:szCs w:val="22"/>
        </w:rPr>
        <w:t xml:space="preserve"> products</w:t>
      </w:r>
      <w:r w:rsidR="005328E8">
        <w:rPr>
          <w:sz w:val="22"/>
          <w:szCs w:val="22"/>
        </w:rPr>
        <w:t xml:space="preserve"> (betting on horse and dog races, and betting on sports events)</w:t>
      </w:r>
      <w:r w:rsidRPr="001C0951">
        <w:rPr>
          <w:sz w:val="22"/>
          <w:szCs w:val="22"/>
        </w:rPr>
        <w:t>.</w:t>
      </w:r>
    </w:p>
    <w:p w:rsidR="00915E93" w:rsidRDefault="00915E93" w:rsidP="006D48A1">
      <w:pPr>
        <w:rPr>
          <w:sz w:val="22"/>
          <w:szCs w:val="22"/>
        </w:rPr>
      </w:pPr>
    </w:p>
    <w:p w:rsidR="009F2D15" w:rsidRPr="00B77D78" w:rsidRDefault="00B967F2" w:rsidP="00415AE1">
      <w:pPr>
        <w:pStyle w:val="Heading3"/>
      </w:pPr>
      <w:r>
        <w:t>Harm from</w:t>
      </w:r>
      <w:r w:rsidR="009F2D15" w:rsidRPr="00B77D78">
        <w:t xml:space="preserve"> gambling</w:t>
      </w:r>
      <w:bookmarkEnd w:id="12"/>
    </w:p>
    <w:p w:rsidR="00830221" w:rsidRDefault="00D62008" w:rsidP="006D48A1">
      <w:pPr>
        <w:numPr>
          <w:ilvl w:val="0"/>
          <w:numId w:val="41"/>
        </w:numPr>
        <w:ind w:left="567" w:hanging="567"/>
        <w:rPr>
          <w:sz w:val="22"/>
          <w:szCs w:val="22"/>
        </w:rPr>
      </w:pPr>
      <w:r w:rsidRPr="00D62008">
        <w:rPr>
          <w:sz w:val="22"/>
          <w:szCs w:val="22"/>
        </w:rPr>
        <w:t xml:space="preserve">Harm from gambling </w:t>
      </w:r>
      <w:r w:rsidR="00212D43">
        <w:rPr>
          <w:sz w:val="22"/>
          <w:szCs w:val="22"/>
        </w:rPr>
        <w:t>can include</w:t>
      </w:r>
      <w:r w:rsidRPr="00D62008">
        <w:rPr>
          <w:sz w:val="22"/>
          <w:szCs w:val="22"/>
        </w:rPr>
        <w:t xml:space="preserve"> relationship breakdown, depression, suicide, reduced work productivity, job loss, bankruptcy, and various types of gambling-related crime (including family violence and crime committed to finance gambling). </w:t>
      </w:r>
      <w:r w:rsidR="00830221">
        <w:rPr>
          <w:sz w:val="22"/>
          <w:szCs w:val="22"/>
        </w:rPr>
        <w:t xml:space="preserve"> </w:t>
      </w:r>
      <w:r w:rsidRPr="00D62008">
        <w:rPr>
          <w:sz w:val="22"/>
          <w:szCs w:val="22"/>
        </w:rPr>
        <w:t>There are ‘ripple effects’; that is, harms can and often do extend beyond gamblers to encompass family members</w:t>
      </w:r>
      <w:r>
        <w:rPr>
          <w:sz w:val="22"/>
          <w:szCs w:val="22"/>
        </w:rPr>
        <w:t xml:space="preserve"> (especially children)</w:t>
      </w:r>
      <w:r w:rsidRPr="00D62008">
        <w:rPr>
          <w:sz w:val="22"/>
          <w:szCs w:val="22"/>
        </w:rPr>
        <w:t>, whānau, friends, employers, colleagues and whole communities.</w:t>
      </w:r>
      <w:r w:rsidR="00B17BF7" w:rsidRPr="00D62008">
        <w:rPr>
          <w:sz w:val="22"/>
          <w:szCs w:val="22"/>
        </w:rPr>
        <w:t xml:space="preserve"> </w:t>
      </w:r>
      <w:r w:rsidR="00BE20EB">
        <w:rPr>
          <w:sz w:val="22"/>
          <w:szCs w:val="22"/>
        </w:rPr>
        <w:t xml:space="preserve"> </w:t>
      </w:r>
      <w:r w:rsidR="00830221" w:rsidRPr="00BE20EB">
        <w:rPr>
          <w:sz w:val="22"/>
          <w:szCs w:val="22"/>
        </w:rPr>
        <w:t>(</w:t>
      </w:r>
      <w:r w:rsidR="00830221">
        <w:rPr>
          <w:sz w:val="22"/>
          <w:szCs w:val="22"/>
        </w:rPr>
        <w:t xml:space="preserve">Abbott et al 2014b; </w:t>
      </w:r>
      <w:r w:rsidR="00830221" w:rsidRPr="00BE20EB">
        <w:rPr>
          <w:sz w:val="22"/>
          <w:szCs w:val="22"/>
        </w:rPr>
        <w:t>Delfabbro 2012; Productivity Commission 1999, 2010)</w:t>
      </w:r>
    </w:p>
    <w:p w:rsidR="00830221" w:rsidRDefault="00830221" w:rsidP="006D48A1">
      <w:pPr>
        <w:rPr>
          <w:sz w:val="22"/>
          <w:szCs w:val="22"/>
        </w:rPr>
      </w:pPr>
    </w:p>
    <w:p w:rsidR="00D62008" w:rsidRPr="00BE20EB" w:rsidRDefault="00830221" w:rsidP="006D48A1">
      <w:pPr>
        <w:numPr>
          <w:ilvl w:val="0"/>
          <w:numId w:val="41"/>
        </w:numPr>
        <w:ind w:left="567" w:hanging="567"/>
        <w:rPr>
          <w:sz w:val="22"/>
          <w:szCs w:val="22"/>
        </w:rPr>
      </w:pPr>
      <w:r>
        <w:rPr>
          <w:sz w:val="22"/>
          <w:szCs w:val="22"/>
        </w:rPr>
        <w:t>There is compelling evidence from New Zealand and international research that a</w:t>
      </w:r>
      <w:r w:rsidRPr="00BE20EB">
        <w:rPr>
          <w:sz w:val="22"/>
          <w:szCs w:val="22"/>
        </w:rPr>
        <w:t xml:space="preserve">t-risk gambling is associated with </w:t>
      </w:r>
      <w:r>
        <w:rPr>
          <w:sz w:val="22"/>
          <w:szCs w:val="22"/>
        </w:rPr>
        <w:t xml:space="preserve">higher levels of </w:t>
      </w:r>
      <w:r w:rsidRPr="00BE20EB">
        <w:rPr>
          <w:sz w:val="22"/>
          <w:szCs w:val="22"/>
        </w:rPr>
        <w:t>smoki</w:t>
      </w:r>
      <w:r>
        <w:rPr>
          <w:sz w:val="22"/>
          <w:szCs w:val="22"/>
        </w:rPr>
        <w:t>ng,</w:t>
      </w:r>
      <w:r w:rsidRPr="00BE20EB">
        <w:rPr>
          <w:sz w:val="22"/>
          <w:szCs w:val="22"/>
        </w:rPr>
        <w:t xml:space="preserve"> </w:t>
      </w:r>
      <w:r>
        <w:rPr>
          <w:sz w:val="22"/>
          <w:szCs w:val="22"/>
        </w:rPr>
        <w:t xml:space="preserve">hazardous alcohol consumption, </w:t>
      </w:r>
      <w:r w:rsidRPr="00BE20EB">
        <w:rPr>
          <w:sz w:val="22"/>
          <w:szCs w:val="22"/>
        </w:rPr>
        <w:t xml:space="preserve">other </w:t>
      </w:r>
      <w:r>
        <w:rPr>
          <w:sz w:val="22"/>
          <w:szCs w:val="22"/>
        </w:rPr>
        <w:t>drug use</w:t>
      </w:r>
      <w:r w:rsidRPr="00BE20EB">
        <w:rPr>
          <w:sz w:val="22"/>
          <w:szCs w:val="22"/>
        </w:rPr>
        <w:t>, and poorer self-rated health</w:t>
      </w:r>
      <w:r>
        <w:rPr>
          <w:sz w:val="22"/>
          <w:szCs w:val="22"/>
        </w:rPr>
        <w:t xml:space="preserve">. </w:t>
      </w:r>
      <w:r w:rsidRPr="00BE20EB">
        <w:rPr>
          <w:sz w:val="22"/>
          <w:szCs w:val="22"/>
        </w:rPr>
        <w:t xml:space="preserve"> There has been debate whether these types of problems tend to lead to, or tend to be a result of, at-risk gambling</w:t>
      </w:r>
      <w:r>
        <w:rPr>
          <w:sz w:val="22"/>
          <w:szCs w:val="22"/>
        </w:rPr>
        <w:t xml:space="preserve">. </w:t>
      </w:r>
    </w:p>
    <w:p w:rsidR="00D62008" w:rsidRDefault="00D62008" w:rsidP="006D48A1">
      <w:pPr>
        <w:rPr>
          <w:sz w:val="22"/>
          <w:szCs w:val="22"/>
        </w:rPr>
      </w:pPr>
    </w:p>
    <w:p w:rsidR="00D62008" w:rsidRPr="00D62008" w:rsidRDefault="00D62008" w:rsidP="006D48A1">
      <w:pPr>
        <w:numPr>
          <w:ilvl w:val="0"/>
          <w:numId w:val="41"/>
        </w:numPr>
        <w:ind w:left="567" w:hanging="567"/>
        <w:rPr>
          <w:sz w:val="22"/>
          <w:szCs w:val="22"/>
        </w:rPr>
      </w:pPr>
      <w:r w:rsidRPr="00D62008">
        <w:rPr>
          <w:sz w:val="22"/>
          <w:szCs w:val="22"/>
        </w:rPr>
        <w:t>There are different ways to measure gambling harm. The Australian Productivity Commission (Productivity Commission 2010) has cautioned against a narrow focus on ‘problem gamblers’ (in the sense of people scoring above a certain threshold on a screening instrument), because:</w:t>
      </w:r>
    </w:p>
    <w:p w:rsidR="00D62008" w:rsidRPr="00D62008" w:rsidRDefault="00D62008" w:rsidP="006D48A1">
      <w:pPr>
        <w:numPr>
          <w:ilvl w:val="0"/>
          <w:numId w:val="13"/>
        </w:numPr>
        <w:spacing w:before="120"/>
        <w:ind w:left="992" w:hanging="425"/>
        <w:rPr>
          <w:sz w:val="22"/>
          <w:szCs w:val="22"/>
        </w:rPr>
      </w:pPr>
      <w:r w:rsidRPr="00D62008">
        <w:rPr>
          <w:sz w:val="22"/>
          <w:szCs w:val="22"/>
        </w:rPr>
        <w:t>there is substantial existing harm and risks of future harm among gamblers who would not be categorised as problem gamblers by screening instruments</w:t>
      </w:r>
    </w:p>
    <w:p w:rsidR="00D62008" w:rsidRPr="00D62008" w:rsidRDefault="00D62008" w:rsidP="00D62008">
      <w:pPr>
        <w:numPr>
          <w:ilvl w:val="0"/>
          <w:numId w:val="13"/>
        </w:numPr>
        <w:spacing w:before="120"/>
        <w:ind w:left="992" w:hanging="425"/>
        <w:rPr>
          <w:sz w:val="22"/>
          <w:szCs w:val="22"/>
        </w:rPr>
      </w:pPr>
      <w:r w:rsidRPr="00D62008">
        <w:rPr>
          <w:sz w:val="22"/>
          <w:szCs w:val="22"/>
        </w:rPr>
        <w:lastRenderedPageBreak/>
        <w:t xml:space="preserve">it can lead to an excessive focus on individual traits (such as prior mental health conditions) that may </w:t>
      </w:r>
      <w:r w:rsidRPr="00D62008">
        <w:rPr>
          <w:i/>
          <w:sz w:val="22"/>
          <w:szCs w:val="22"/>
        </w:rPr>
        <w:t>sometimes</w:t>
      </w:r>
      <w:r w:rsidRPr="00D62008">
        <w:rPr>
          <w:sz w:val="22"/>
          <w:szCs w:val="22"/>
        </w:rPr>
        <w:t xml:space="preserve"> precipitate gambling problems</w:t>
      </w:r>
    </w:p>
    <w:p w:rsidR="00D62008" w:rsidRPr="00D62008" w:rsidRDefault="00D62008" w:rsidP="00D62008">
      <w:pPr>
        <w:numPr>
          <w:ilvl w:val="0"/>
          <w:numId w:val="13"/>
        </w:numPr>
        <w:spacing w:before="120"/>
        <w:ind w:left="992" w:hanging="425"/>
        <w:rPr>
          <w:sz w:val="22"/>
          <w:szCs w:val="22"/>
        </w:rPr>
      </w:pPr>
      <w:r w:rsidRPr="00D62008">
        <w:rPr>
          <w:sz w:val="22"/>
          <w:szCs w:val="22"/>
        </w:rPr>
        <w:t xml:space="preserve">it largely ignores the harmful effects associated with </w:t>
      </w:r>
      <w:r w:rsidRPr="00D62008">
        <w:rPr>
          <w:i/>
          <w:sz w:val="22"/>
          <w:szCs w:val="22"/>
        </w:rPr>
        <w:t>other people’s</w:t>
      </w:r>
      <w:r w:rsidRPr="00D62008">
        <w:rPr>
          <w:sz w:val="22"/>
          <w:szCs w:val="22"/>
        </w:rPr>
        <w:t xml:space="preserve"> gambling.</w:t>
      </w:r>
    </w:p>
    <w:p w:rsidR="00D62008" w:rsidRPr="00D62008" w:rsidRDefault="00D62008" w:rsidP="00D62008">
      <w:pPr>
        <w:rPr>
          <w:sz w:val="22"/>
          <w:szCs w:val="22"/>
        </w:rPr>
      </w:pPr>
    </w:p>
    <w:p w:rsidR="00D62008" w:rsidRPr="00D62008" w:rsidRDefault="00B34A0A" w:rsidP="006D48A1">
      <w:pPr>
        <w:numPr>
          <w:ilvl w:val="0"/>
          <w:numId w:val="41"/>
        </w:numPr>
        <w:ind w:left="567" w:hanging="567"/>
        <w:rPr>
          <w:sz w:val="22"/>
          <w:szCs w:val="22"/>
        </w:rPr>
      </w:pPr>
      <w:r>
        <w:rPr>
          <w:sz w:val="22"/>
          <w:szCs w:val="22"/>
        </w:rPr>
        <w:t xml:space="preserve">All problem gamblers and most moderate-risk and low-risk gamblers are likely to </w:t>
      </w:r>
      <w:r w:rsidR="00276597">
        <w:rPr>
          <w:sz w:val="22"/>
          <w:szCs w:val="22"/>
        </w:rPr>
        <w:t>experience</w:t>
      </w:r>
      <w:r>
        <w:rPr>
          <w:sz w:val="22"/>
          <w:szCs w:val="22"/>
        </w:rPr>
        <w:t xml:space="preserve"> some harm from their own gambling.  </w:t>
      </w:r>
      <w:r w:rsidR="00D62008" w:rsidRPr="00D62008">
        <w:rPr>
          <w:sz w:val="22"/>
          <w:szCs w:val="22"/>
        </w:rPr>
        <w:t xml:space="preserve">Using the Problem Gambling Severity Index (PGSI), </w:t>
      </w:r>
      <w:r w:rsidR="006C37D8">
        <w:rPr>
          <w:sz w:val="22"/>
          <w:szCs w:val="22"/>
        </w:rPr>
        <w:t xml:space="preserve">an internationally-recognised </w:t>
      </w:r>
      <w:r w:rsidR="006C37D8" w:rsidRPr="00D62008">
        <w:rPr>
          <w:sz w:val="22"/>
          <w:szCs w:val="22"/>
        </w:rPr>
        <w:t>screening instrument</w:t>
      </w:r>
      <w:r w:rsidR="006C37D8">
        <w:rPr>
          <w:sz w:val="22"/>
          <w:szCs w:val="22"/>
        </w:rPr>
        <w:t>,</w:t>
      </w:r>
      <w:r w:rsidR="006C37D8" w:rsidRPr="00D62008">
        <w:rPr>
          <w:sz w:val="22"/>
          <w:szCs w:val="22"/>
        </w:rPr>
        <w:t xml:space="preserve"> </w:t>
      </w:r>
      <w:r w:rsidR="00D62008" w:rsidRPr="00D62008">
        <w:rPr>
          <w:sz w:val="22"/>
          <w:szCs w:val="22"/>
        </w:rPr>
        <w:t xml:space="preserve">the 2012 NGS </w:t>
      </w:r>
      <w:r w:rsidR="000F399B" w:rsidRPr="00D62008">
        <w:rPr>
          <w:sz w:val="22"/>
          <w:szCs w:val="22"/>
        </w:rPr>
        <w:t>(Abbott et al 2014b)</w:t>
      </w:r>
      <w:r w:rsidR="000F399B">
        <w:rPr>
          <w:sz w:val="22"/>
          <w:szCs w:val="22"/>
        </w:rPr>
        <w:t xml:space="preserve"> </w:t>
      </w:r>
      <w:r w:rsidR="00D62008" w:rsidRPr="00D62008">
        <w:rPr>
          <w:sz w:val="22"/>
          <w:szCs w:val="22"/>
        </w:rPr>
        <w:t>estimated that:</w:t>
      </w:r>
    </w:p>
    <w:p w:rsidR="00D62008" w:rsidRPr="00D62008" w:rsidRDefault="00D62008" w:rsidP="006D48A1">
      <w:pPr>
        <w:numPr>
          <w:ilvl w:val="0"/>
          <w:numId w:val="13"/>
        </w:numPr>
        <w:spacing w:before="120"/>
        <w:ind w:left="992" w:hanging="425"/>
        <w:rPr>
          <w:sz w:val="22"/>
          <w:szCs w:val="22"/>
        </w:rPr>
      </w:pPr>
      <w:r w:rsidRPr="00D62008">
        <w:rPr>
          <w:sz w:val="22"/>
          <w:szCs w:val="22"/>
        </w:rPr>
        <w:t>0.7 percent of adults in New Zealand (approximately 24,000 people) were current problem gamblers</w:t>
      </w:r>
    </w:p>
    <w:p w:rsidR="00D62008" w:rsidRPr="00D62008" w:rsidRDefault="00D62008" w:rsidP="006D48A1">
      <w:pPr>
        <w:numPr>
          <w:ilvl w:val="0"/>
          <w:numId w:val="13"/>
        </w:numPr>
        <w:spacing w:before="120"/>
        <w:ind w:left="992" w:hanging="425"/>
        <w:rPr>
          <w:sz w:val="22"/>
          <w:szCs w:val="22"/>
        </w:rPr>
      </w:pPr>
      <w:r w:rsidRPr="00D62008">
        <w:rPr>
          <w:sz w:val="22"/>
          <w:szCs w:val="22"/>
        </w:rPr>
        <w:t>1.8 percent (60,000 people) were current moderate-risk gamblers</w:t>
      </w:r>
    </w:p>
    <w:p w:rsidR="00D62008" w:rsidRPr="000F399B" w:rsidRDefault="00D62008" w:rsidP="006D48A1">
      <w:pPr>
        <w:numPr>
          <w:ilvl w:val="0"/>
          <w:numId w:val="13"/>
        </w:numPr>
        <w:spacing w:before="120"/>
        <w:ind w:left="992" w:hanging="425"/>
        <w:rPr>
          <w:sz w:val="22"/>
          <w:szCs w:val="22"/>
        </w:rPr>
      </w:pPr>
      <w:r w:rsidRPr="00D62008">
        <w:rPr>
          <w:sz w:val="22"/>
          <w:szCs w:val="22"/>
        </w:rPr>
        <w:t>5.0 percent (168,000 people) were current low-risk gamblers</w:t>
      </w:r>
      <w:r w:rsidRPr="000F399B">
        <w:rPr>
          <w:sz w:val="22"/>
          <w:szCs w:val="22"/>
        </w:rPr>
        <w:t>.</w:t>
      </w:r>
    </w:p>
    <w:p w:rsidR="00B84001" w:rsidRDefault="00B84001" w:rsidP="006D48A1">
      <w:pPr>
        <w:rPr>
          <w:sz w:val="22"/>
          <w:szCs w:val="22"/>
        </w:rPr>
      </w:pPr>
    </w:p>
    <w:p w:rsidR="007B0AD8" w:rsidRDefault="007B0AD8" w:rsidP="006D48A1">
      <w:pPr>
        <w:numPr>
          <w:ilvl w:val="0"/>
          <w:numId w:val="41"/>
        </w:numPr>
        <w:ind w:left="567" w:hanging="567"/>
        <w:rPr>
          <w:sz w:val="22"/>
          <w:szCs w:val="22"/>
        </w:rPr>
      </w:pPr>
      <w:r>
        <w:rPr>
          <w:sz w:val="22"/>
          <w:szCs w:val="22"/>
        </w:rPr>
        <w:t xml:space="preserve">There are </w:t>
      </w:r>
      <w:r w:rsidR="00366A5D" w:rsidRPr="007B0AD8">
        <w:rPr>
          <w:sz w:val="22"/>
          <w:szCs w:val="22"/>
        </w:rPr>
        <w:t xml:space="preserve">ways of estimating the prevalence of </w:t>
      </w:r>
      <w:r w:rsidR="00815160" w:rsidRPr="007B0AD8">
        <w:rPr>
          <w:sz w:val="22"/>
          <w:szCs w:val="22"/>
        </w:rPr>
        <w:t>gambling harm</w:t>
      </w:r>
      <w:r>
        <w:rPr>
          <w:sz w:val="22"/>
          <w:szCs w:val="22"/>
        </w:rPr>
        <w:t xml:space="preserve"> that do not involve the use of problem gambling screening instruments</w:t>
      </w:r>
      <w:r w:rsidR="00815160" w:rsidRPr="007B0AD8">
        <w:rPr>
          <w:sz w:val="22"/>
          <w:szCs w:val="22"/>
        </w:rPr>
        <w:t xml:space="preserve">.  </w:t>
      </w:r>
      <w:r w:rsidR="00366A5D" w:rsidRPr="007B0AD8">
        <w:rPr>
          <w:sz w:val="22"/>
          <w:szCs w:val="22"/>
        </w:rPr>
        <w:t>For example</w:t>
      </w:r>
      <w:r w:rsidRPr="007B0AD8">
        <w:rPr>
          <w:rFonts w:eastAsia="Calibri"/>
          <w:sz w:val="22"/>
          <w:szCs w:val="22"/>
        </w:rPr>
        <w:t xml:space="preserve">, the 2012 NGS asked respondents whether, in their wider family or household, someone had ever had to go without something they needed, or some bills weren’t paid, because too much was spent on gambling </w:t>
      </w:r>
      <w:r w:rsidRPr="00BB3B85">
        <w:rPr>
          <w:rFonts w:eastAsia="Calibri"/>
          <w:i/>
          <w:sz w:val="22"/>
          <w:szCs w:val="22"/>
        </w:rPr>
        <w:t>by another person</w:t>
      </w:r>
      <w:r w:rsidRPr="007B0AD8">
        <w:rPr>
          <w:rFonts w:eastAsia="Calibri"/>
          <w:sz w:val="22"/>
          <w:szCs w:val="22"/>
        </w:rPr>
        <w:t xml:space="preserve">. It estimated </w:t>
      </w:r>
      <w:r w:rsidRPr="00D62008">
        <w:rPr>
          <w:sz w:val="22"/>
          <w:szCs w:val="22"/>
        </w:rPr>
        <w:t>(Abbott et al 2014b)</w:t>
      </w:r>
      <w:r>
        <w:rPr>
          <w:sz w:val="22"/>
          <w:szCs w:val="22"/>
        </w:rPr>
        <w:t xml:space="preserve"> </w:t>
      </w:r>
      <w:r w:rsidRPr="007B0AD8">
        <w:rPr>
          <w:rFonts w:eastAsia="Calibri"/>
          <w:sz w:val="22"/>
          <w:szCs w:val="22"/>
        </w:rPr>
        <w:t xml:space="preserve">that someone else’s gambling had these harmful effects </w:t>
      </w:r>
      <w:r w:rsidRPr="007B0AD8">
        <w:rPr>
          <w:rFonts w:eastAsia="Calibri"/>
          <w:i/>
          <w:sz w:val="22"/>
          <w:szCs w:val="22"/>
        </w:rPr>
        <w:t>at some time</w:t>
      </w:r>
      <w:r w:rsidRPr="007B0AD8">
        <w:rPr>
          <w:rFonts w:eastAsia="Calibri"/>
          <w:sz w:val="22"/>
          <w:szCs w:val="22"/>
        </w:rPr>
        <w:t xml:space="preserve"> in the wider families or households of around 430,000 adults.</w:t>
      </w:r>
      <w:r w:rsidR="00012D39">
        <w:rPr>
          <w:rFonts w:eastAsia="Calibri"/>
          <w:sz w:val="22"/>
          <w:szCs w:val="22"/>
        </w:rPr>
        <w:t xml:space="preserve"> </w:t>
      </w:r>
      <w:r w:rsidRPr="007B0AD8">
        <w:rPr>
          <w:rFonts w:eastAsia="Calibri"/>
          <w:sz w:val="22"/>
          <w:szCs w:val="22"/>
        </w:rPr>
        <w:t xml:space="preserve"> In about a third of these cases, someone else’s gambling had these effects </w:t>
      </w:r>
      <w:r w:rsidRPr="007B0AD8">
        <w:rPr>
          <w:rFonts w:eastAsia="Calibri"/>
          <w:i/>
          <w:sz w:val="22"/>
          <w:szCs w:val="22"/>
        </w:rPr>
        <w:t>in the previous year</w:t>
      </w:r>
      <w:r w:rsidRPr="007B0AD8">
        <w:rPr>
          <w:rFonts w:eastAsia="Calibri"/>
          <w:sz w:val="22"/>
          <w:szCs w:val="22"/>
        </w:rPr>
        <w:t>.</w:t>
      </w:r>
      <w:r>
        <w:rPr>
          <w:rFonts w:eastAsia="Calibri"/>
          <w:sz w:val="22"/>
          <w:szCs w:val="22"/>
        </w:rPr>
        <w:t xml:space="preserve"> </w:t>
      </w:r>
      <w:r w:rsidRPr="007B0AD8">
        <w:rPr>
          <w:sz w:val="22"/>
          <w:szCs w:val="22"/>
        </w:rPr>
        <w:t xml:space="preserve"> </w:t>
      </w:r>
      <w:r>
        <w:rPr>
          <w:sz w:val="22"/>
          <w:szCs w:val="22"/>
        </w:rPr>
        <w:t xml:space="preserve">Similarly, the 2011/12 New Zealand Health Survey estimated that in the previous year, almost 90,000 adults had experienced problems </w:t>
      </w:r>
      <w:r w:rsidRPr="00012D39">
        <w:rPr>
          <w:sz w:val="22"/>
          <w:szCs w:val="22"/>
        </w:rPr>
        <w:t>because of someone else’s gambling</w:t>
      </w:r>
      <w:r w:rsidR="00B96A89">
        <w:rPr>
          <w:sz w:val="22"/>
          <w:szCs w:val="22"/>
        </w:rPr>
        <w:t xml:space="preserve"> (Rossen 2015</w:t>
      </w:r>
      <w:r>
        <w:rPr>
          <w:sz w:val="22"/>
          <w:szCs w:val="22"/>
        </w:rPr>
        <w:t xml:space="preserve">).  </w:t>
      </w:r>
    </w:p>
    <w:p w:rsidR="007B0AD8" w:rsidRDefault="007B0AD8" w:rsidP="006D48A1">
      <w:pPr>
        <w:rPr>
          <w:sz w:val="22"/>
          <w:szCs w:val="22"/>
        </w:rPr>
      </w:pPr>
    </w:p>
    <w:p w:rsidR="00815160" w:rsidRPr="007B0AD8" w:rsidRDefault="00BB3B85" w:rsidP="006D48A1">
      <w:pPr>
        <w:numPr>
          <w:ilvl w:val="0"/>
          <w:numId w:val="41"/>
        </w:numPr>
        <w:ind w:left="567" w:hanging="567"/>
        <w:rPr>
          <w:sz w:val="22"/>
          <w:szCs w:val="22"/>
        </w:rPr>
      </w:pPr>
      <w:r>
        <w:rPr>
          <w:sz w:val="22"/>
          <w:szCs w:val="22"/>
        </w:rPr>
        <w:t>It is worth noting that n</w:t>
      </w:r>
      <w:r w:rsidR="003F79A0">
        <w:rPr>
          <w:sz w:val="22"/>
          <w:szCs w:val="22"/>
        </w:rPr>
        <w:t>one of the</w:t>
      </w:r>
      <w:r w:rsidR="00B84001">
        <w:rPr>
          <w:sz w:val="22"/>
          <w:szCs w:val="22"/>
        </w:rPr>
        <w:t xml:space="preserve"> numbers cited above</w:t>
      </w:r>
      <w:r w:rsidR="007B0AD8">
        <w:rPr>
          <w:sz w:val="22"/>
          <w:szCs w:val="22"/>
        </w:rPr>
        <w:t xml:space="preserve"> include </w:t>
      </w:r>
      <w:r w:rsidR="00B84001">
        <w:rPr>
          <w:sz w:val="22"/>
          <w:szCs w:val="22"/>
        </w:rPr>
        <w:t xml:space="preserve">the number of </w:t>
      </w:r>
      <w:r w:rsidR="007B0AD8">
        <w:rPr>
          <w:sz w:val="22"/>
          <w:szCs w:val="22"/>
        </w:rPr>
        <w:t>children who are experiencing harm as a result of their own or someone else’s gambling.</w:t>
      </w:r>
      <w:r w:rsidR="00B84001">
        <w:rPr>
          <w:sz w:val="22"/>
          <w:szCs w:val="22"/>
        </w:rPr>
        <w:t xml:space="preserve">  The Ministry </w:t>
      </w:r>
      <w:r>
        <w:rPr>
          <w:sz w:val="22"/>
          <w:szCs w:val="22"/>
        </w:rPr>
        <w:t xml:space="preserve">has invested in studies exploring this issue for young people and </w:t>
      </w:r>
      <w:r w:rsidR="00B84001">
        <w:rPr>
          <w:sz w:val="22"/>
          <w:szCs w:val="22"/>
        </w:rPr>
        <w:t>is currently investing in several studies that focus on children.</w:t>
      </w:r>
    </w:p>
    <w:p w:rsidR="00815160" w:rsidRPr="007B0AD8" w:rsidRDefault="00815160" w:rsidP="006D48A1">
      <w:pPr>
        <w:rPr>
          <w:sz w:val="22"/>
          <w:szCs w:val="22"/>
        </w:rPr>
      </w:pPr>
    </w:p>
    <w:p w:rsidR="00516005" w:rsidRPr="002D3164" w:rsidRDefault="00FE358A" w:rsidP="002D3164">
      <w:pPr>
        <w:numPr>
          <w:ilvl w:val="0"/>
          <w:numId w:val="41"/>
        </w:numPr>
        <w:ind w:left="567" w:hanging="567"/>
        <w:rPr>
          <w:sz w:val="22"/>
          <w:szCs w:val="22"/>
        </w:rPr>
      </w:pPr>
      <w:r>
        <w:rPr>
          <w:rFonts w:eastAsia="Calibri"/>
          <w:sz w:val="22"/>
          <w:szCs w:val="22"/>
        </w:rPr>
        <w:t xml:space="preserve">It is difficult to assess the extent to which different forms of gambling </w:t>
      </w:r>
      <w:r w:rsidR="005F1090">
        <w:rPr>
          <w:rFonts w:eastAsia="Calibri"/>
          <w:sz w:val="22"/>
          <w:szCs w:val="22"/>
        </w:rPr>
        <w:t>are associated with</w:t>
      </w:r>
      <w:r>
        <w:rPr>
          <w:rFonts w:eastAsia="Calibri"/>
          <w:sz w:val="22"/>
          <w:szCs w:val="22"/>
        </w:rPr>
        <w:t xml:space="preserve"> </w:t>
      </w:r>
      <w:r w:rsidR="00B34A0A">
        <w:rPr>
          <w:rFonts w:eastAsia="Calibri"/>
          <w:sz w:val="22"/>
          <w:szCs w:val="22"/>
        </w:rPr>
        <w:t>harm</w:t>
      </w:r>
      <w:r w:rsidR="006F2389">
        <w:rPr>
          <w:rFonts w:eastAsia="Calibri"/>
          <w:sz w:val="22"/>
          <w:szCs w:val="22"/>
        </w:rPr>
        <w:t>,</w:t>
      </w:r>
      <w:r w:rsidR="00B34A0A">
        <w:rPr>
          <w:rFonts w:eastAsia="Calibri"/>
          <w:sz w:val="22"/>
          <w:szCs w:val="22"/>
        </w:rPr>
        <w:t xml:space="preserve"> </w:t>
      </w:r>
      <w:r w:rsidR="00026CF3">
        <w:rPr>
          <w:rFonts w:eastAsia="Calibri"/>
          <w:sz w:val="22"/>
          <w:szCs w:val="22"/>
        </w:rPr>
        <w:t>given that many people participate in more than one form, given the wide range</w:t>
      </w:r>
      <w:r w:rsidR="006F2389">
        <w:rPr>
          <w:rFonts w:eastAsia="Calibri"/>
          <w:sz w:val="22"/>
          <w:szCs w:val="22"/>
        </w:rPr>
        <w:t>s</w:t>
      </w:r>
      <w:r w:rsidR="00B34A0A">
        <w:rPr>
          <w:rFonts w:eastAsia="Calibri"/>
          <w:sz w:val="22"/>
          <w:szCs w:val="22"/>
        </w:rPr>
        <w:t xml:space="preserve"> </w:t>
      </w:r>
      <w:r w:rsidR="00026CF3">
        <w:rPr>
          <w:rFonts w:eastAsia="Calibri"/>
          <w:sz w:val="22"/>
          <w:szCs w:val="22"/>
        </w:rPr>
        <w:t xml:space="preserve">in </w:t>
      </w:r>
      <w:r w:rsidR="004C14F6">
        <w:rPr>
          <w:rFonts w:eastAsia="Calibri"/>
          <w:sz w:val="22"/>
          <w:szCs w:val="22"/>
        </w:rPr>
        <w:t xml:space="preserve">types </w:t>
      </w:r>
      <w:r w:rsidR="00B34A0A">
        <w:rPr>
          <w:rFonts w:eastAsia="Calibri"/>
          <w:sz w:val="22"/>
          <w:szCs w:val="22"/>
        </w:rPr>
        <w:t>and severity of harm</w:t>
      </w:r>
      <w:r w:rsidR="00026CF3">
        <w:rPr>
          <w:rFonts w:eastAsia="Calibri"/>
          <w:sz w:val="22"/>
          <w:szCs w:val="22"/>
        </w:rPr>
        <w:t>, and given the co-morbidities that are often associated</w:t>
      </w:r>
      <w:r w:rsidR="006F2389">
        <w:rPr>
          <w:rFonts w:eastAsia="Calibri"/>
          <w:sz w:val="22"/>
          <w:szCs w:val="22"/>
        </w:rPr>
        <w:t xml:space="preserve"> with gambling harm</w:t>
      </w:r>
      <w:r w:rsidR="00026CF3">
        <w:rPr>
          <w:rFonts w:eastAsia="Calibri"/>
          <w:sz w:val="22"/>
          <w:szCs w:val="22"/>
        </w:rPr>
        <w:t xml:space="preserve">.  </w:t>
      </w:r>
      <w:r>
        <w:rPr>
          <w:rFonts w:eastAsia="Calibri"/>
          <w:sz w:val="22"/>
          <w:szCs w:val="22"/>
        </w:rPr>
        <w:t>Even so, t</w:t>
      </w:r>
      <w:r w:rsidR="00516005" w:rsidRPr="00454332">
        <w:rPr>
          <w:rFonts w:eastAsia="Calibri"/>
          <w:sz w:val="22"/>
          <w:szCs w:val="22"/>
        </w:rPr>
        <w:t xml:space="preserve">here is compelling evidence </w:t>
      </w:r>
      <w:r w:rsidR="009827DD" w:rsidRPr="00454332">
        <w:rPr>
          <w:sz w:val="22"/>
          <w:szCs w:val="22"/>
        </w:rPr>
        <w:t xml:space="preserve">that </w:t>
      </w:r>
      <w:r w:rsidR="00C01F63" w:rsidRPr="00454332">
        <w:rPr>
          <w:sz w:val="22"/>
          <w:szCs w:val="22"/>
        </w:rPr>
        <w:t>‘</w:t>
      </w:r>
      <w:r w:rsidR="009827DD" w:rsidRPr="00454332">
        <w:rPr>
          <w:sz w:val="22"/>
          <w:szCs w:val="22"/>
        </w:rPr>
        <w:t>c</w:t>
      </w:r>
      <w:r w:rsidR="007958DF" w:rsidRPr="00454332">
        <w:rPr>
          <w:sz w:val="22"/>
          <w:szCs w:val="22"/>
        </w:rPr>
        <w:t>ontinuous</w:t>
      </w:r>
      <w:r w:rsidR="00C01F63" w:rsidRPr="00454332">
        <w:rPr>
          <w:sz w:val="22"/>
          <w:szCs w:val="22"/>
        </w:rPr>
        <w:t>’</w:t>
      </w:r>
      <w:r w:rsidR="007958DF" w:rsidRPr="00454332">
        <w:rPr>
          <w:sz w:val="22"/>
          <w:szCs w:val="22"/>
        </w:rPr>
        <w:t xml:space="preserve"> forms of gambling</w:t>
      </w:r>
      <w:r w:rsidR="00D36BCB" w:rsidRPr="00454332">
        <w:rPr>
          <w:sz w:val="22"/>
          <w:szCs w:val="22"/>
        </w:rPr>
        <w:t xml:space="preserve"> </w:t>
      </w:r>
      <w:r w:rsidR="002D3164">
        <w:rPr>
          <w:sz w:val="22"/>
          <w:szCs w:val="22"/>
        </w:rPr>
        <w:t xml:space="preserve">(particularly gaming machines) </w:t>
      </w:r>
      <w:r w:rsidR="007958DF" w:rsidRPr="00454332">
        <w:rPr>
          <w:sz w:val="22"/>
          <w:szCs w:val="22"/>
        </w:rPr>
        <w:t xml:space="preserve">are </w:t>
      </w:r>
      <w:r w:rsidR="009827DD" w:rsidRPr="00454332">
        <w:rPr>
          <w:sz w:val="22"/>
          <w:szCs w:val="22"/>
        </w:rPr>
        <w:t xml:space="preserve">much more likely than </w:t>
      </w:r>
      <w:r w:rsidR="00C01F63" w:rsidRPr="00454332">
        <w:rPr>
          <w:sz w:val="22"/>
          <w:szCs w:val="22"/>
        </w:rPr>
        <w:t>‘</w:t>
      </w:r>
      <w:r w:rsidR="009827DD" w:rsidRPr="00454332">
        <w:rPr>
          <w:sz w:val="22"/>
          <w:szCs w:val="22"/>
        </w:rPr>
        <w:t>non-continuous</w:t>
      </w:r>
      <w:r w:rsidR="00C01F63" w:rsidRPr="00454332">
        <w:rPr>
          <w:sz w:val="22"/>
          <w:szCs w:val="22"/>
        </w:rPr>
        <w:t>’</w:t>
      </w:r>
      <w:r w:rsidR="009827DD" w:rsidRPr="00454332">
        <w:rPr>
          <w:sz w:val="22"/>
          <w:szCs w:val="22"/>
        </w:rPr>
        <w:t xml:space="preserve"> forms to be </w:t>
      </w:r>
      <w:r w:rsidR="007958DF" w:rsidRPr="00454332">
        <w:rPr>
          <w:sz w:val="22"/>
          <w:szCs w:val="22"/>
        </w:rPr>
        <w:t>associate</w:t>
      </w:r>
      <w:r w:rsidR="00026CF3">
        <w:rPr>
          <w:sz w:val="22"/>
          <w:szCs w:val="22"/>
        </w:rPr>
        <w:t>d with harm</w:t>
      </w:r>
      <w:r w:rsidR="007958DF" w:rsidRPr="00454332">
        <w:rPr>
          <w:sz w:val="22"/>
          <w:szCs w:val="22"/>
        </w:rPr>
        <w:t xml:space="preserve"> </w:t>
      </w:r>
      <w:r w:rsidR="00645708" w:rsidRPr="00454332">
        <w:rPr>
          <w:sz w:val="22"/>
          <w:szCs w:val="22"/>
        </w:rPr>
        <w:t>to</w:t>
      </w:r>
      <w:r w:rsidR="009827DD" w:rsidRPr="00454332">
        <w:rPr>
          <w:sz w:val="22"/>
          <w:szCs w:val="22"/>
        </w:rPr>
        <w:t xml:space="preserve"> gamblers and those around them</w:t>
      </w:r>
      <w:r w:rsidR="00B82747" w:rsidRPr="00454332">
        <w:rPr>
          <w:sz w:val="22"/>
          <w:szCs w:val="22"/>
        </w:rPr>
        <w:t xml:space="preserve">. </w:t>
      </w:r>
      <w:r w:rsidR="00454332" w:rsidRPr="00454332">
        <w:rPr>
          <w:sz w:val="22"/>
          <w:szCs w:val="22"/>
        </w:rPr>
        <w:t xml:space="preserve"> </w:t>
      </w:r>
      <w:r w:rsidR="008759D6" w:rsidRPr="002D3164">
        <w:rPr>
          <w:sz w:val="22"/>
          <w:szCs w:val="22"/>
        </w:rPr>
        <w:t xml:space="preserve">For example, the </w:t>
      </w:r>
      <w:r w:rsidR="00B96A89" w:rsidRPr="002D3164">
        <w:rPr>
          <w:sz w:val="22"/>
          <w:szCs w:val="22"/>
        </w:rPr>
        <w:t>Australia</w:t>
      </w:r>
      <w:r w:rsidR="008759D6" w:rsidRPr="002D3164">
        <w:rPr>
          <w:sz w:val="22"/>
          <w:szCs w:val="22"/>
        </w:rPr>
        <w:t>n</w:t>
      </w:r>
      <w:r w:rsidR="00516005" w:rsidRPr="002D3164">
        <w:rPr>
          <w:sz w:val="22"/>
          <w:szCs w:val="22"/>
        </w:rPr>
        <w:t xml:space="preserve"> Productivity Commission concluded after two inquiries a decade apart that peop</w:t>
      </w:r>
      <w:r w:rsidR="00B96A89" w:rsidRPr="002D3164">
        <w:rPr>
          <w:sz w:val="22"/>
          <w:szCs w:val="22"/>
        </w:rPr>
        <w:t xml:space="preserve">le playing </w:t>
      </w:r>
      <w:r w:rsidR="00516005" w:rsidRPr="002D3164">
        <w:rPr>
          <w:sz w:val="22"/>
          <w:szCs w:val="22"/>
        </w:rPr>
        <w:t xml:space="preserve">gaming machines face much greater risks than people who participate in other gambling activities, and that the likelihood of harm rises steeply with the frequency of </w:t>
      </w:r>
      <w:r w:rsidR="007B497B">
        <w:rPr>
          <w:sz w:val="22"/>
          <w:szCs w:val="22"/>
        </w:rPr>
        <w:t xml:space="preserve">gaming machine </w:t>
      </w:r>
      <w:r w:rsidR="00516005" w:rsidRPr="002D3164">
        <w:rPr>
          <w:sz w:val="22"/>
          <w:szCs w:val="22"/>
        </w:rPr>
        <w:t xml:space="preserve">gambling and </w:t>
      </w:r>
      <w:r w:rsidR="007B497B">
        <w:rPr>
          <w:sz w:val="22"/>
          <w:szCs w:val="22"/>
        </w:rPr>
        <w:t xml:space="preserve">gaming machine </w:t>
      </w:r>
      <w:r w:rsidR="00516005" w:rsidRPr="002D3164">
        <w:rPr>
          <w:sz w:val="22"/>
          <w:szCs w:val="22"/>
        </w:rPr>
        <w:t>expenditure levels (Productivity Commission 1999, 2010).</w:t>
      </w:r>
      <w:r w:rsidR="00BB3B85" w:rsidRPr="002D3164">
        <w:rPr>
          <w:sz w:val="22"/>
          <w:szCs w:val="22"/>
        </w:rPr>
        <w:t xml:space="preserve">  </w:t>
      </w:r>
    </w:p>
    <w:p w:rsidR="00516005" w:rsidRPr="00454332" w:rsidRDefault="00516005" w:rsidP="006D48A1">
      <w:pPr>
        <w:rPr>
          <w:sz w:val="22"/>
          <w:szCs w:val="22"/>
        </w:rPr>
      </w:pPr>
    </w:p>
    <w:p w:rsidR="00C43AF7" w:rsidRDefault="00747851" w:rsidP="002D3164">
      <w:pPr>
        <w:numPr>
          <w:ilvl w:val="0"/>
          <w:numId w:val="41"/>
        </w:numPr>
        <w:ind w:left="567" w:hanging="567"/>
        <w:rPr>
          <w:sz w:val="22"/>
          <w:szCs w:val="22"/>
        </w:rPr>
      </w:pPr>
      <w:r>
        <w:rPr>
          <w:sz w:val="22"/>
          <w:szCs w:val="22"/>
        </w:rPr>
        <w:t>The New Zealand research suggests that NCGMs alo</w:t>
      </w:r>
      <w:r w:rsidR="008F0A42">
        <w:rPr>
          <w:sz w:val="22"/>
          <w:szCs w:val="22"/>
        </w:rPr>
        <w:t>ne are associated with around 45</w:t>
      </w:r>
      <w:r>
        <w:rPr>
          <w:sz w:val="22"/>
          <w:szCs w:val="22"/>
        </w:rPr>
        <w:t xml:space="preserve">% to </w:t>
      </w:r>
      <w:r w:rsidR="00E33425">
        <w:rPr>
          <w:sz w:val="22"/>
          <w:szCs w:val="22"/>
        </w:rPr>
        <w:t>57</w:t>
      </w:r>
      <w:r>
        <w:rPr>
          <w:sz w:val="22"/>
          <w:szCs w:val="22"/>
        </w:rPr>
        <w:t xml:space="preserve">% of gambling harm.  When expressed </w:t>
      </w:r>
      <w:r w:rsidR="00C43AF7">
        <w:rPr>
          <w:sz w:val="22"/>
          <w:szCs w:val="22"/>
        </w:rPr>
        <w:t>in terms of</w:t>
      </w:r>
      <w:r>
        <w:rPr>
          <w:sz w:val="22"/>
          <w:szCs w:val="22"/>
        </w:rPr>
        <w:t xml:space="preserve"> the harm that is associated with the current levy-paying sectors, this is broadly the equivalent of a range from 40</w:t>
      </w:r>
      <w:r w:rsidR="00C43AF7">
        <w:rPr>
          <w:sz w:val="22"/>
          <w:szCs w:val="22"/>
        </w:rPr>
        <w:t>% to 65%</w:t>
      </w:r>
      <w:r w:rsidR="00A50CF2">
        <w:rPr>
          <w:sz w:val="22"/>
          <w:szCs w:val="22"/>
        </w:rPr>
        <w:t xml:space="preserve">. </w:t>
      </w:r>
      <w:r w:rsidR="008F0A42">
        <w:rPr>
          <w:sz w:val="22"/>
          <w:szCs w:val="22"/>
        </w:rPr>
        <w:t xml:space="preserve"> </w:t>
      </w:r>
      <w:r w:rsidR="00A50CF2">
        <w:rPr>
          <w:sz w:val="22"/>
          <w:szCs w:val="22"/>
        </w:rPr>
        <w:t xml:space="preserve">The wide range is largely a result of differences in study design, in the type of harm considered, and in the questions asked (particularly, whether respondents had the option of nominating more than one form of gambling as associated with harm).  Most of the recent findings suggest the figures are between 54% and 60%.  </w:t>
      </w:r>
      <w:r>
        <w:rPr>
          <w:sz w:val="22"/>
          <w:szCs w:val="22"/>
        </w:rPr>
        <w:t xml:space="preserve">At the other end of the spectrum, </w:t>
      </w:r>
      <w:r w:rsidR="00C43AF7">
        <w:rPr>
          <w:sz w:val="22"/>
          <w:szCs w:val="22"/>
        </w:rPr>
        <w:t xml:space="preserve">the research suggests that </w:t>
      </w:r>
      <w:r>
        <w:rPr>
          <w:sz w:val="22"/>
          <w:szCs w:val="22"/>
        </w:rPr>
        <w:t xml:space="preserve">New Zealand Lotteries </w:t>
      </w:r>
      <w:r w:rsidR="008F0A42">
        <w:rPr>
          <w:sz w:val="22"/>
          <w:szCs w:val="22"/>
        </w:rPr>
        <w:t>Commission prod</w:t>
      </w:r>
      <w:r w:rsidR="00C43AF7">
        <w:rPr>
          <w:sz w:val="22"/>
          <w:szCs w:val="22"/>
        </w:rPr>
        <w:t>ucts</w:t>
      </w:r>
      <w:r>
        <w:rPr>
          <w:sz w:val="22"/>
          <w:szCs w:val="22"/>
        </w:rPr>
        <w:t xml:space="preserve"> </w:t>
      </w:r>
      <w:r w:rsidR="00C43AF7">
        <w:rPr>
          <w:sz w:val="22"/>
          <w:szCs w:val="22"/>
        </w:rPr>
        <w:t xml:space="preserve">are associated with </w:t>
      </w:r>
      <w:r w:rsidR="004012A4">
        <w:rPr>
          <w:sz w:val="22"/>
          <w:szCs w:val="22"/>
        </w:rPr>
        <w:t xml:space="preserve">around </w:t>
      </w:r>
      <w:r w:rsidR="009E1F46">
        <w:rPr>
          <w:sz w:val="22"/>
          <w:szCs w:val="22"/>
        </w:rPr>
        <w:t>2% to 16</w:t>
      </w:r>
      <w:r w:rsidR="00F81196">
        <w:rPr>
          <w:sz w:val="22"/>
          <w:szCs w:val="22"/>
        </w:rPr>
        <w:t xml:space="preserve">% of the harm that is attributable to </w:t>
      </w:r>
      <w:r w:rsidR="008F0A42">
        <w:rPr>
          <w:sz w:val="22"/>
          <w:szCs w:val="22"/>
        </w:rPr>
        <w:t xml:space="preserve">the current levy-paying sectors, </w:t>
      </w:r>
      <w:r w:rsidR="00F81196">
        <w:rPr>
          <w:sz w:val="22"/>
          <w:szCs w:val="22"/>
        </w:rPr>
        <w:t xml:space="preserve">with most of the </w:t>
      </w:r>
      <w:r w:rsidR="007B497B">
        <w:rPr>
          <w:sz w:val="22"/>
          <w:szCs w:val="22"/>
        </w:rPr>
        <w:t xml:space="preserve">recent </w:t>
      </w:r>
      <w:r w:rsidR="00F81196">
        <w:rPr>
          <w:sz w:val="22"/>
          <w:szCs w:val="22"/>
        </w:rPr>
        <w:t>findings suggesting figures below 10%.</w:t>
      </w:r>
    </w:p>
    <w:p w:rsidR="00C43AF7" w:rsidRDefault="00C43AF7" w:rsidP="00F81196">
      <w:pPr>
        <w:rPr>
          <w:sz w:val="22"/>
          <w:szCs w:val="22"/>
        </w:rPr>
      </w:pPr>
    </w:p>
    <w:p w:rsidR="00FE358A" w:rsidRPr="00C43AF7" w:rsidRDefault="00747851" w:rsidP="005A458F">
      <w:pPr>
        <w:numPr>
          <w:ilvl w:val="0"/>
          <w:numId w:val="41"/>
        </w:numPr>
        <w:ind w:left="567" w:hanging="567"/>
        <w:rPr>
          <w:sz w:val="22"/>
          <w:szCs w:val="22"/>
        </w:rPr>
      </w:pPr>
      <w:r w:rsidRPr="00C43AF7">
        <w:rPr>
          <w:sz w:val="22"/>
          <w:szCs w:val="22"/>
        </w:rPr>
        <w:lastRenderedPageBreak/>
        <w:t xml:space="preserve">In New Zealand betting on racing or sports and casino table games are also more likely than other forms of gambling to be associated with harm.  For example, the </w:t>
      </w:r>
      <w:r w:rsidR="007B180C" w:rsidRPr="00C43AF7">
        <w:rPr>
          <w:rFonts w:eastAsia="Calibri"/>
          <w:sz w:val="22"/>
          <w:szCs w:val="22"/>
        </w:rPr>
        <w:t xml:space="preserve">2014 </w:t>
      </w:r>
      <w:r w:rsidR="007B180C" w:rsidRPr="00C43AF7">
        <w:rPr>
          <w:sz w:val="22"/>
          <w:szCs w:val="22"/>
        </w:rPr>
        <w:t xml:space="preserve">New Zealand Health and Lifestyles Survey (Tu and Puthipiroj, in press) asked respondents whether </w:t>
      </w:r>
      <w:r w:rsidR="00F618BD" w:rsidRPr="00C43AF7">
        <w:rPr>
          <w:sz w:val="22"/>
          <w:szCs w:val="22"/>
        </w:rPr>
        <w:t xml:space="preserve">in the previous year </w:t>
      </w:r>
      <w:r w:rsidR="007B180C" w:rsidRPr="00C43AF7">
        <w:rPr>
          <w:sz w:val="22"/>
          <w:szCs w:val="22"/>
        </w:rPr>
        <w:t>in the</w:t>
      </w:r>
      <w:r w:rsidR="00F618BD" w:rsidRPr="00C43AF7">
        <w:rPr>
          <w:sz w:val="22"/>
          <w:szCs w:val="22"/>
        </w:rPr>
        <w:t>ir</w:t>
      </w:r>
      <w:r w:rsidR="007B180C" w:rsidRPr="00C43AF7">
        <w:rPr>
          <w:sz w:val="22"/>
          <w:szCs w:val="22"/>
        </w:rPr>
        <w:t xml:space="preserve"> wider family or household there had been some argument about time or money spent on betting or gambling, and/or someone had to go without something they nee</w:t>
      </w:r>
      <w:r w:rsidR="00F618BD" w:rsidRPr="00C43AF7">
        <w:rPr>
          <w:sz w:val="22"/>
          <w:szCs w:val="22"/>
        </w:rPr>
        <w:t>ded or some bills weren’t paid</w:t>
      </w:r>
      <w:r w:rsidR="007B180C" w:rsidRPr="00C43AF7">
        <w:rPr>
          <w:sz w:val="22"/>
          <w:szCs w:val="22"/>
        </w:rPr>
        <w:t xml:space="preserve"> because too much was spent on gambli</w:t>
      </w:r>
      <w:r w:rsidR="00394CB5">
        <w:rPr>
          <w:sz w:val="22"/>
          <w:szCs w:val="22"/>
        </w:rPr>
        <w:t xml:space="preserve">ng by someone else.  </w:t>
      </w:r>
      <w:r w:rsidR="007B180C" w:rsidRPr="00C43AF7">
        <w:rPr>
          <w:sz w:val="22"/>
          <w:szCs w:val="22"/>
        </w:rPr>
        <w:t xml:space="preserve">NCGMs were the form of gambling </w:t>
      </w:r>
      <w:r w:rsidR="007B180C" w:rsidRPr="00C43AF7">
        <w:rPr>
          <w:i/>
          <w:sz w:val="22"/>
          <w:szCs w:val="22"/>
        </w:rPr>
        <w:t>most often involved</w:t>
      </w:r>
      <w:r w:rsidR="007B180C" w:rsidRPr="00C43AF7">
        <w:rPr>
          <w:sz w:val="22"/>
          <w:szCs w:val="22"/>
        </w:rPr>
        <w:t xml:space="preserve"> for 49.9% of </w:t>
      </w:r>
      <w:r w:rsidR="00F618BD" w:rsidRPr="00C43AF7">
        <w:rPr>
          <w:sz w:val="22"/>
          <w:szCs w:val="22"/>
        </w:rPr>
        <w:t xml:space="preserve">those who had experienced such ‘household harm’.  </w:t>
      </w:r>
      <w:r w:rsidR="007B497B">
        <w:rPr>
          <w:sz w:val="22"/>
          <w:szCs w:val="22"/>
        </w:rPr>
        <w:t>I</w:t>
      </w:r>
      <w:r w:rsidR="00BD2BF1" w:rsidRPr="00C43AF7">
        <w:rPr>
          <w:sz w:val="22"/>
          <w:szCs w:val="22"/>
        </w:rPr>
        <w:t xml:space="preserve">n terms of </w:t>
      </w:r>
      <w:r w:rsidR="00BD2BF1" w:rsidRPr="00C43AF7">
        <w:rPr>
          <w:i/>
          <w:sz w:val="22"/>
          <w:szCs w:val="22"/>
        </w:rPr>
        <w:t>attributions to the four current levy-paying sectors</w:t>
      </w:r>
      <w:r w:rsidR="00BD2BF1" w:rsidRPr="00C43AF7">
        <w:rPr>
          <w:sz w:val="22"/>
          <w:szCs w:val="22"/>
        </w:rPr>
        <w:t xml:space="preserve">, this </w:t>
      </w:r>
      <w:r w:rsidR="00CC6A3C" w:rsidRPr="00C43AF7">
        <w:rPr>
          <w:sz w:val="22"/>
          <w:szCs w:val="22"/>
        </w:rPr>
        <w:t>is around</w:t>
      </w:r>
      <w:r w:rsidR="00BD2BF1" w:rsidRPr="00C43AF7">
        <w:rPr>
          <w:sz w:val="22"/>
          <w:szCs w:val="22"/>
        </w:rPr>
        <w:t xml:space="preserve"> 59.6%.  </w:t>
      </w:r>
      <w:r w:rsidR="00F618BD" w:rsidRPr="00C43AF7">
        <w:rPr>
          <w:sz w:val="22"/>
          <w:szCs w:val="22"/>
        </w:rPr>
        <w:t>The figure</w:t>
      </w:r>
      <w:r w:rsidR="00BD2BF1" w:rsidRPr="00C43AF7">
        <w:rPr>
          <w:sz w:val="22"/>
          <w:szCs w:val="22"/>
        </w:rPr>
        <w:t>s</w:t>
      </w:r>
      <w:r w:rsidR="00F618BD" w:rsidRPr="00C43AF7">
        <w:rPr>
          <w:sz w:val="22"/>
          <w:szCs w:val="22"/>
        </w:rPr>
        <w:t xml:space="preserve"> </w:t>
      </w:r>
      <w:r w:rsidR="00BD2BF1" w:rsidRPr="00C43AF7">
        <w:rPr>
          <w:sz w:val="22"/>
          <w:szCs w:val="22"/>
        </w:rPr>
        <w:t xml:space="preserve">were </w:t>
      </w:r>
      <w:r w:rsidR="00394CB5">
        <w:rPr>
          <w:sz w:val="22"/>
          <w:szCs w:val="22"/>
        </w:rPr>
        <w:t>around 10% for casino table games, 9.8% for casino machines</w:t>
      </w:r>
      <w:r w:rsidR="00F618BD" w:rsidRPr="00C43AF7">
        <w:rPr>
          <w:sz w:val="22"/>
          <w:szCs w:val="22"/>
        </w:rPr>
        <w:t xml:space="preserve">, 17.7% for the New Zealand Racing Board’s betting products, and </w:t>
      </w:r>
      <w:r w:rsidR="00BD2BF1" w:rsidRPr="00C43AF7">
        <w:rPr>
          <w:sz w:val="22"/>
          <w:szCs w:val="22"/>
        </w:rPr>
        <w:t>2.9</w:t>
      </w:r>
      <w:r w:rsidR="00F618BD" w:rsidRPr="00C43AF7">
        <w:rPr>
          <w:sz w:val="22"/>
          <w:szCs w:val="22"/>
        </w:rPr>
        <w:t>% for New Zealand Lotteries Commission</w:t>
      </w:r>
      <w:r w:rsidR="007B497B">
        <w:rPr>
          <w:sz w:val="22"/>
          <w:szCs w:val="22"/>
        </w:rPr>
        <w:t xml:space="preserve"> products</w:t>
      </w:r>
      <w:r w:rsidR="00F618BD" w:rsidRPr="00C43AF7">
        <w:rPr>
          <w:sz w:val="22"/>
          <w:szCs w:val="22"/>
        </w:rPr>
        <w:t>.</w:t>
      </w:r>
      <w:r w:rsidR="00FE358A" w:rsidRPr="00C43AF7">
        <w:rPr>
          <w:rFonts w:eastAsia="Calibri"/>
          <w:sz w:val="22"/>
          <w:szCs w:val="22"/>
        </w:rPr>
        <w:t xml:space="preserve"> </w:t>
      </w:r>
    </w:p>
    <w:p w:rsidR="00FE358A" w:rsidRPr="00BD2BF1" w:rsidRDefault="00FE358A" w:rsidP="006D48A1">
      <w:pPr>
        <w:rPr>
          <w:rFonts w:eastAsia="Calibri"/>
          <w:sz w:val="22"/>
          <w:szCs w:val="22"/>
        </w:rPr>
      </w:pPr>
    </w:p>
    <w:p w:rsidR="00930CE5" w:rsidRPr="00930CE5" w:rsidRDefault="004C14F6" w:rsidP="006D48A1">
      <w:pPr>
        <w:numPr>
          <w:ilvl w:val="0"/>
          <w:numId w:val="41"/>
        </w:numPr>
        <w:ind w:left="567" w:hanging="567"/>
        <w:rPr>
          <w:sz w:val="22"/>
          <w:szCs w:val="22"/>
        </w:rPr>
      </w:pPr>
      <w:r>
        <w:rPr>
          <w:sz w:val="22"/>
          <w:szCs w:val="22"/>
        </w:rPr>
        <w:t xml:space="preserve">There continues to be compelling evidence that </w:t>
      </w:r>
      <w:r w:rsidR="00883294" w:rsidRPr="00883294">
        <w:rPr>
          <w:sz w:val="22"/>
          <w:szCs w:val="22"/>
        </w:rPr>
        <w:t xml:space="preserve">Māori and Pacific people </w:t>
      </w:r>
      <w:r w:rsidR="00883294">
        <w:rPr>
          <w:sz w:val="22"/>
          <w:szCs w:val="22"/>
        </w:rPr>
        <w:t xml:space="preserve">are </w:t>
      </w:r>
      <w:r w:rsidR="00962FE3">
        <w:rPr>
          <w:sz w:val="22"/>
          <w:szCs w:val="22"/>
        </w:rPr>
        <w:t>more likely to suffer gambling</w:t>
      </w:r>
      <w:r w:rsidR="00883294">
        <w:rPr>
          <w:sz w:val="22"/>
          <w:szCs w:val="22"/>
        </w:rPr>
        <w:t xml:space="preserve"> harm from their own or someone else’s gambling.</w:t>
      </w:r>
      <w:r w:rsidR="00962FE3">
        <w:rPr>
          <w:sz w:val="22"/>
          <w:szCs w:val="22"/>
        </w:rPr>
        <w:t xml:space="preserve">  Some subgroups of the Asian population also seem to be more likely to suffer gambling harm.  People living in more deprived areas are also more vulnerable.  (Abbott et al 2014b; Allen and Clarke 2015a; Rossen 2015; </w:t>
      </w:r>
      <w:r w:rsidR="00962FE3" w:rsidRPr="00512228">
        <w:rPr>
          <w:sz w:val="22"/>
          <w:szCs w:val="22"/>
        </w:rPr>
        <w:t>Sobrun</w:t>
      </w:r>
      <w:r w:rsidR="00962FE3" w:rsidRPr="00604C88">
        <w:rPr>
          <w:sz w:val="22"/>
          <w:szCs w:val="22"/>
        </w:rPr>
        <w:t>-Maharaj</w:t>
      </w:r>
      <w:r w:rsidR="00962FE3">
        <w:rPr>
          <w:sz w:val="22"/>
          <w:szCs w:val="22"/>
        </w:rPr>
        <w:t>, Rossen and Wong</w:t>
      </w:r>
      <w:r w:rsidR="00962FE3" w:rsidRPr="001500DB">
        <w:rPr>
          <w:sz w:val="22"/>
          <w:szCs w:val="22"/>
        </w:rPr>
        <w:t xml:space="preserve"> </w:t>
      </w:r>
      <w:r w:rsidR="00962FE3">
        <w:rPr>
          <w:sz w:val="22"/>
          <w:szCs w:val="22"/>
        </w:rPr>
        <w:t>2013)</w:t>
      </w:r>
    </w:p>
    <w:p w:rsidR="00883294" w:rsidRDefault="00883294" w:rsidP="006D48A1">
      <w:pPr>
        <w:rPr>
          <w:sz w:val="22"/>
          <w:szCs w:val="22"/>
        </w:rPr>
      </w:pPr>
    </w:p>
    <w:p w:rsidR="003F4DAC" w:rsidRPr="00962FE3" w:rsidRDefault="00C44DAF" w:rsidP="006D48A1">
      <w:pPr>
        <w:numPr>
          <w:ilvl w:val="0"/>
          <w:numId w:val="41"/>
        </w:numPr>
        <w:ind w:left="567" w:hanging="567"/>
        <w:rPr>
          <w:sz w:val="22"/>
          <w:szCs w:val="22"/>
        </w:rPr>
      </w:pPr>
      <w:r>
        <w:rPr>
          <w:sz w:val="22"/>
          <w:szCs w:val="22"/>
        </w:rPr>
        <w:t>T</w:t>
      </w:r>
      <w:r w:rsidR="003F4DAC" w:rsidRPr="00BD2D30">
        <w:rPr>
          <w:sz w:val="22"/>
          <w:szCs w:val="22"/>
        </w:rPr>
        <w:t xml:space="preserve">he </w:t>
      </w:r>
      <w:r w:rsidR="00141A02">
        <w:rPr>
          <w:sz w:val="22"/>
          <w:szCs w:val="22"/>
        </w:rPr>
        <w:t xml:space="preserve">research </w:t>
      </w:r>
      <w:r w:rsidR="002463B3">
        <w:rPr>
          <w:sz w:val="22"/>
          <w:szCs w:val="22"/>
        </w:rPr>
        <w:t>findings</w:t>
      </w:r>
      <w:r w:rsidR="00141A02">
        <w:rPr>
          <w:sz w:val="22"/>
          <w:szCs w:val="22"/>
        </w:rPr>
        <w:t xml:space="preserve"> </w:t>
      </w:r>
      <w:r w:rsidR="007C1DD4">
        <w:rPr>
          <w:sz w:val="22"/>
          <w:szCs w:val="22"/>
        </w:rPr>
        <w:t xml:space="preserve">(for example, Abbott et al 2014b and 2014c; Rossen 2015) </w:t>
      </w:r>
      <w:r w:rsidR="00141A02">
        <w:rPr>
          <w:sz w:val="22"/>
          <w:szCs w:val="22"/>
        </w:rPr>
        <w:t>and</w:t>
      </w:r>
      <w:r w:rsidR="00BD2D30">
        <w:rPr>
          <w:sz w:val="22"/>
          <w:szCs w:val="22"/>
        </w:rPr>
        <w:t xml:space="preserve"> </w:t>
      </w:r>
      <w:r w:rsidR="00141A02">
        <w:rPr>
          <w:sz w:val="22"/>
          <w:szCs w:val="22"/>
        </w:rPr>
        <w:t xml:space="preserve">data from </w:t>
      </w:r>
      <w:r w:rsidR="00962FE3">
        <w:rPr>
          <w:sz w:val="22"/>
          <w:szCs w:val="22"/>
        </w:rPr>
        <w:t xml:space="preserve">Ministry-funded </w:t>
      </w:r>
      <w:r w:rsidR="00141A02">
        <w:rPr>
          <w:sz w:val="22"/>
          <w:szCs w:val="22"/>
        </w:rPr>
        <w:t>gambling intervention</w:t>
      </w:r>
      <w:r w:rsidR="00962FE3">
        <w:rPr>
          <w:sz w:val="22"/>
          <w:szCs w:val="22"/>
        </w:rPr>
        <w:t xml:space="preserve"> services</w:t>
      </w:r>
      <w:r w:rsidR="00141A02">
        <w:rPr>
          <w:sz w:val="22"/>
          <w:szCs w:val="22"/>
        </w:rPr>
        <w:t xml:space="preserve"> suggest</w:t>
      </w:r>
      <w:r w:rsidR="002E56F4">
        <w:rPr>
          <w:sz w:val="22"/>
          <w:szCs w:val="22"/>
        </w:rPr>
        <w:t xml:space="preserve"> that there are now </w:t>
      </w:r>
      <w:r w:rsidR="00882FFD">
        <w:rPr>
          <w:sz w:val="22"/>
          <w:szCs w:val="22"/>
        </w:rPr>
        <w:t xml:space="preserve">far </w:t>
      </w:r>
      <w:r w:rsidR="002E56F4">
        <w:rPr>
          <w:sz w:val="22"/>
          <w:szCs w:val="22"/>
        </w:rPr>
        <w:t>few</w:t>
      </w:r>
      <w:r w:rsidR="00882FFD">
        <w:rPr>
          <w:sz w:val="22"/>
          <w:szCs w:val="22"/>
        </w:rPr>
        <w:t>er</w:t>
      </w:r>
      <w:r w:rsidR="003F4DAC" w:rsidRPr="00BD2D30">
        <w:rPr>
          <w:sz w:val="22"/>
          <w:szCs w:val="22"/>
        </w:rPr>
        <w:t xml:space="preserve"> significant differences between </w:t>
      </w:r>
      <w:r w:rsidR="00962FE3">
        <w:rPr>
          <w:sz w:val="22"/>
          <w:szCs w:val="22"/>
        </w:rPr>
        <w:t>men</w:t>
      </w:r>
      <w:r w:rsidR="003F4DAC" w:rsidRPr="00BD2D30">
        <w:rPr>
          <w:sz w:val="22"/>
          <w:szCs w:val="22"/>
        </w:rPr>
        <w:t xml:space="preserve"> and </w:t>
      </w:r>
      <w:r w:rsidR="00962FE3">
        <w:rPr>
          <w:sz w:val="22"/>
          <w:szCs w:val="22"/>
        </w:rPr>
        <w:t>women</w:t>
      </w:r>
      <w:r w:rsidR="003F4DAC" w:rsidRPr="00BD2D30">
        <w:rPr>
          <w:sz w:val="22"/>
          <w:szCs w:val="22"/>
        </w:rPr>
        <w:t xml:space="preserve"> in </w:t>
      </w:r>
      <w:r w:rsidR="009E4487">
        <w:rPr>
          <w:sz w:val="22"/>
          <w:szCs w:val="22"/>
        </w:rPr>
        <w:t xml:space="preserve">terms of </w:t>
      </w:r>
      <w:r w:rsidR="003F4DAC" w:rsidRPr="00BD2D30">
        <w:rPr>
          <w:sz w:val="22"/>
          <w:szCs w:val="22"/>
        </w:rPr>
        <w:t xml:space="preserve">gambling participation, the prevalence of problem gambling, </w:t>
      </w:r>
      <w:r w:rsidR="00155250">
        <w:rPr>
          <w:sz w:val="22"/>
          <w:szCs w:val="22"/>
        </w:rPr>
        <w:t xml:space="preserve">the prevalence of </w:t>
      </w:r>
      <w:r w:rsidR="003F4DAC" w:rsidRPr="00BD2D30">
        <w:rPr>
          <w:sz w:val="22"/>
          <w:szCs w:val="22"/>
        </w:rPr>
        <w:t xml:space="preserve">gambling harm, the risk of gambling harm </w:t>
      </w:r>
      <w:r w:rsidR="00D1730A">
        <w:rPr>
          <w:sz w:val="22"/>
          <w:szCs w:val="22"/>
        </w:rPr>
        <w:t>and</w:t>
      </w:r>
      <w:r w:rsidR="003F4DAC" w:rsidRPr="00BD2D30">
        <w:rPr>
          <w:sz w:val="22"/>
          <w:szCs w:val="22"/>
        </w:rPr>
        <w:t xml:space="preserve"> help-seeking. </w:t>
      </w:r>
      <w:r w:rsidR="00962FE3">
        <w:rPr>
          <w:sz w:val="22"/>
          <w:szCs w:val="22"/>
        </w:rPr>
        <w:t xml:space="preserve"> </w:t>
      </w:r>
      <w:r w:rsidR="003F4DAC" w:rsidRPr="00962FE3">
        <w:rPr>
          <w:sz w:val="22"/>
          <w:szCs w:val="22"/>
        </w:rPr>
        <w:t xml:space="preserve">However, </w:t>
      </w:r>
      <w:r w:rsidR="00962FE3">
        <w:rPr>
          <w:sz w:val="22"/>
          <w:szCs w:val="22"/>
        </w:rPr>
        <w:t>women</w:t>
      </w:r>
      <w:r w:rsidR="003F4DAC" w:rsidRPr="00962FE3">
        <w:rPr>
          <w:sz w:val="22"/>
          <w:szCs w:val="22"/>
        </w:rPr>
        <w:t xml:space="preserve"> still make up most of those who seek help for problems associated with someone else’s gambling, and it is likely that there are still some differences </w:t>
      </w:r>
      <w:r w:rsidR="00141A02" w:rsidRPr="00962FE3">
        <w:rPr>
          <w:sz w:val="22"/>
          <w:szCs w:val="22"/>
        </w:rPr>
        <w:t xml:space="preserve">in </w:t>
      </w:r>
      <w:r w:rsidR="002463B3">
        <w:rPr>
          <w:sz w:val="22"/>
          <w:szCs w:val="22"/>
        </w:rPr>
        <w:t xml:space="preserve">gambling participation and </w:t>
      </w:r>
      <w:r w:rsidR="00962FE3">
        <w:rPr>
          <w:sz w:val="22"/>
          <w:szCs w:val="22"/>
        </w:rPr>
        <w:t>harm</w:t>
      </w:r>
      <w:r w:rsidR="00141A02" w:rsidRPr="00962FE3">
        <w:rPr>
          <w:sz w:val="22"/>
          <w:szCs w:val="22"/>
        </w:rPr>
        <w:t xml:space="preserve"> by gender within different forms of gambling</w:t>
      </w:r>
      <w:r w:rsidR="004D3DC6" w:rsidRPr="00962FE3">
        <w:rPr>
          <w:sz w:val="22"/>
          <w:szCs w:val="22"/>
        </w:rPr>
        <w:t>,</w:t>
      </w:r>
      <w:r w:rsidR="00141A02" w:rsidRPr="00962FE3">
        <w:rPr>
          <w:sz w:val="22"/>
          <w:szCs w:val="22"/>
        </w:rPr>
        <w:t xml:space="preserve"> and </w:t>
      </w:r>
      <w:r w:rsidR="003F4DAC" w:rsidRPr="00962FE3">
        <w:rPr>
          <w:sz w:val="22"/>
          <w:szCs w:val="22"/>
        </w:rPr>
        <w:t>by gender within particular ethnic groups.</w:t>
      </w:r>
      <w:r w:rsidR="00D973FA" w:rsidRPr="00962FE3">
        <w:rPr>
          <w:sz w:val="22"/>
          <w:szCs w:val="22"/>
        </w:rPr>
        <w:t xml:space="preserve"> </w:t>
      </w:r>
      <w:r w:rsidR="002463B3">
        <w:rPr>
          <w:sz w:val="22"/>
          <w:szCs w:val="22"/>
        </w:rPr>
        <w:t xml:space="preserve"> </w:t>
      </w:r>
      <w:r w:rsidR="00D973FA" w:rsidRPr="00962FE3">
        <w:rPr>
          <w:sz w:val="22"/>
          <w:szCs w:val="22"/>
        </w:rPr>
        <w:t xml:space="preserve">For example, </w:t>
      </w:r>
      <w:r w:rsidR="00962FE3">
        <w:rPr>
          <w:sz w:val="22"/>
          <w:szCs w:val="22"/>
        </w:rPr>
        <w:t>Māori women</w:t>
      </w:r>
      <w:r w:rsidR="00D973FA" w:rsidRPr="00962FE3">
        <w:rPr>
          <w:sz w:val="22"/>
          <w:szCs w:val="22"/>
        </w:rPr>
        <w:t xml:space="preserve"> </w:t>
      </w:r>
      <w:r w:rsidR="007B1396" w:rsidRPr="00962FE3">
        <w:rPr>
          <w:sz w:val="22"/>
          <w:szCs w:val="22"/>
        </w:rPr>
        <w:t xml:space="preserve">may </w:t>
      </w:r>
      <w:r w:rsidR="00D973FA" w:rsidRPr="00962FE3">
        <w:rPr>
          <w:sz w:val="22"/>
          <w:szCs w:val="22"/>
        </w:rPr>
        <w:t xml:space="preserve">be </w:t>
      </w:r>
      <w:r w:rsidR="00E41F4E" w:rsidRPr="00962FE3">
        <w:rPr>
          <w:sz w:val="22"/>
          <w:szCs w:val="22"/>
        </w:rPr>
        <w:t xml:space="preserve">more at risk than </w:t>
      </w:r>
      <w:r w:rsidR="00E41F4E">
        <w:rPr>
          <w:sz w:val="22"/>
          <w:szCs w:val="22"/>
        </w:rPr>
        <w:t>women in</w:t>
      </w:r>
      <w:r w:rsidR="007C1DD4">
        <w:rPr>
          <w:sz w:val="22"/>
          <w:szCs w:val="22"/>
        </w:rPr>
        <w:t xml:space="preserve"> other ethnic</w:t>
      </w:r>
      <w:r w:rsidR="00E41F4E">
        <w:rPr>
          <w:sz w:val="22"/>
          <w:szCs w:val="22"/>
        </w:rPr>
        <w:t xml:space="preserve"> groups, and </w:t>
      </w:r>
      <w:r w:rsidR="001C3CCB">
        <w:rPr>
          <w:sz w:val="22"/>
          <w:szCs w:val="22"/>
        </w:rPr>
        <w:t xml:space="preserve">may now be </w:t>
      </w:r>
      <w:r w:rsidR="00E41F4E">
        <w:rPr>
          <w:sz w:val="22"/>
          <w:szCs w:val="22"/>
        </w:rPr>
        <w:t xml:space="preserve">more at risk than </w:t>
      </w:r>
      <w:r w:rsidR="00E41F4E" w:rsidRPr="00962FE3">
        <w:rPr>
          <w:sz w:val="22"/>
          <w:szCs w:val="22"/>
        </w:rPr>
        <w:t>men</w:t>
      </w:r>
      <w:r w:rsidR="00E41F4E">
        <w:rPr>
          <w:sz w:val="22"/>
          <w:szCs w:val="22"/>
        </w:rPr>
        <w:t>,</w:t>
      </w:r>
      <w:r w:rsidR="00E41F4E" w:rsidRPr="00962FE3">
        <w:rPr>
          <w:sz w:val="22"/>
          <w:szCs w:val="22"/>
        </w:rPr>
        <w:t xml:space="preserve"> </w:t>
      </w:r>
      <w:r w:rsidR="00D973FA" w:rsidRPr="00962FE3">
        <w:rPr>
          <w:sz w:val="22"/>
          <w:szCs w:val="22"/>
        </w:rPr>
        <w:t xml:space="preserve">of </w:t>
      </w:r>
      <w:r w:rsidR="00E41F4E">
        <w:rPr>
          <w:sz w:val="22"/>
          <w:szCs w:val="22"/>
        </w:rPr>
        <w:t>harm</w:t>
      </w:r>
      <w:r w:rsidR="00D973FA" w:rsidRPr="00962FE3">
        <w:rPr>
          <w:sz w:val="22"/>
          <w:szCs w:val="22"/>
        </w:rPr>
        <w:t xml:space="preserve"> associated with NCGM</w:t>
      </w:r>
      <w:r w:rsidR="00962FE3">
        <w:rPr>
          <w:sz w:val="22"/>
          <w:szCs w:val="22"/>
        </w:rPr>
        <w:t>s</w:t>
      </w:r>
      <w:r w:rsidR="00D973FA" w:rsidRPr="00962FE3">
        <w:rPr>
          <w:sz w:val="22"/>
          <w:szCs w:val="22"/>
        </w:rPr>
        <w:t>.</w:t>
      </w:r>
      <w:r w:rsidR="007C1DD4">
        <w:rPr>
          <w:sz w:val="22"/>
          <w:szCs w:val="22"/>
        </w:rPr>
        <w:t xml:space="preserve">  </w:t>
      </w:r>
    </w:p>
    <w:p w:rsidR="003F4DAC" w:rsidRPr="009B6711" w:rsidRDefault="003F4DAC" w:rsidP="006D48A1">
      <w:pPr>
        <w:rPr>
          <w:sz w:val="22"/>
          <w:szCs w:val="22"/>
        </w:rPr>
      </w:pPr>
    </w:p>
    <w:p w:rsidR="001A771C" w:rsidRDefault="007C1DD4" w:rsidP="006D48A1">
      <w:pPr>
        <w:numPr>
          <w:ilvl w:val="0"/>
          <w:numId w:val="41"/>
        </w:numPr>
        <w:ind w:left="567" w:hanging="567"/>
        <w:rPr>
          <w:sz w:val="22"/>
          <w:szCs w:val="22"/>
        </w:rPr>
      </w:pPr>
      <w:r w:rsidRPr="001A771C">
        <w:rPr>
          <w:sz w:val="22"/>
          <w:szCs w:val="22"/>
        </w:rPr>
        <w:t xml:space="preserve">It is clear that early exposure to gambling increases the risk of developing gambling problems (for example, Abbott and Volberg 2000).  </w:t>
      </w:r>
      <w:r w:rsidR="001A771C" w:rsidRPr="001A771C">
        <w:rPr>
          <w:sz w:val="22"/>
          <w:szCs w:val="22"/>
        </w:rPr>
        <w:t xml:space="preserve">One Australian study </w:t>
      </w:r>
      <w:r w:rsidR="001A771C">
        <w:rPr>
          <w:sz w:val="22"/>
          <w:szCs w:val="22"/>
        </w:rPr>
        <w:t xml:space="preserve">also </w:t>
      </w:r>
      <w:r w:rsidR="001A771C" w:rsidRPr="001A771C">
        <w:rPr>
          <w:sz w:val="22"/>
          <w:szCs w:val="22"/>
        </w:rPr>
        <w:t>concluded that children living with a parent or caregiver who has a serious gambling problem experience ‘pervasive loss’, encompassing both physical and existential aspects of the child’s life (Darbyshire e</w:t>
      </w:r>
      <w:r w:rsidR="002D4128">
        <w:rPr>
          <w:sz w:val="22"/>
          <w:szCs w:val="22"/>
        </w:rPr>
        <w:t xml:space="preserve">t al 2001), and </w:t>
      </w:r>
      <w:r w:rsidR="00B253AF">
        <w:rPr>
          <w:sz w:val="22"/>
          <w:szCs w:val="22"/>
        </w:rPr>
        <w:t xml:space="preserve">the situation for children in </w:t>
      </w:r>
      <w:r w:rsidR="002D4128">
        <w:rPr>
          <w:sz w:val="22"/>
          <w:szCs w:val="22"/>
        </w:rPr>
        <w:t xml:space="preserve">New </w:t>
      </w:r>
      <w:r w:rsidR="00EA73F7">
        <w:rPr>
          <w:sz w:val="22"/>
          <w:szCs w:val="22"/>
        </w:rPr>
        <w:t>Zealand</w:t>
      </w:r>
      <w:r w:rsidR="002D4128">
        <w:rPr>
          <w:sz w:val="22"/>
          <w:szCs w:val="22"/>
        </w:rPr>
        <w:t xml:space="preserve"> seem</w:t>
      </w:r>
      <w:r w:rsidR="00B253AF">
        <w:rPr>
          <w:sz w:val="22"/>
          <w:szCs w:val="22"/>
        </w:rPr>
        <w:t>s</w:t>
      </w:r>
      <w:r w:rsidR="002D4128">
        <w:rPr>
          <w:sz w:val="22"/>
          <w:szCs w:val="22"/>
        </w:rPr>
        <w:t xml:space="preserve"> to </w:t>
      </w:r>
      <w:r w:rsidR="00B253AF">
        <w:rPr>
          <w:sz w:val="22"/>
          <w:szCs w:val="22"/>
        </w:rPr>
        <w:t>be</w:t>
      </w:r>
      <w:r w:rsidR="00B85FF3">
        <w:rPr>
          <w:sz w:val="22"/>
          <w:szCs w:val="22"/>
        </w:rPr>
        <w:t xml:space="preserve"> similar</w:t>
      </w:r>
      <w:r w:rsidR="002D4128">
        <w:rPr>
          <w:sz w:val="22"/>
          <w:szCs w:val="22"/>
        </w:rPr>
        <w:t xml:space="preserve"> (</w:t>
      </w:r>
      <w:r w:rsidR="00B85FF3">
        <w:rPr>
          <w:sz w:val="22"/>
          <w:szCs w:val="22"/>
        </w:rPr>
        <w:t xml:space="preserve">see </w:t>
      </w:r>
      <w:r w:rsidR="002D4128">
        <w:rPr>
          <w:sz w:val="22"/>
          <w:szCs w:val="22"/>
        </w:rPr>
        <w:t>for example, Watson and Watson 2004)</w:t>
      </w:r>
      <w:r w:rsidR="00EA73F7">
        <w:rPr>
          <w:sz w:val="22"/>
          <w:szCs w:val="22"/>
        </w:rPr>
        <w:t>.</w:t>
      </w:r>
    </w:p>
    <w:p w:rsidR="001A771C" w:rsidRPr="002C4C08" w:rsidRDefault="001A771C" w:rsidP="006D48A1">
      <w:pPr>
        <w:rPr>
          <w:sz w:val="22"/>
          <w:szCs w:val="22"/>
        </w:rPr>
      </w:pPr>
    </w:p>
    <w:p w:rsidR="0087792C" w:rsidRDefault="00B85FF3" w:rsidP="006D48A1">
      <w:pPr>
        <w:numPr>
          <w:ilvl w:val="0"/>
          <w:numId w:val="41"/>
        </w:numPr>
        <w:ind w:left="567" w:hanging="567"/>
        <w:rPr>
          <w:sz w:val="22"/>
          <w:szCs w:val="22"/>
        </w:rPr>
      </w:pPr>
      <w:r w:rsidRPr="002C4C08">
        <w:rPr>
          <w:sz w:val="22"/>
          <w:szCs w:val="22"/>
        </w:rPr>
        <w:t>As far as young people are concerned, s</w:t>
      </w:r>
      <w:r w:rsidR="003F4DAC" w:rsidRPr="002C4C08">
        <w:rPr>
          <w:sz w:val="22"/>
          <w:szCs w:val="22"/>
        </w:rPr>
        <w:t xml:space="preserve">ome </w:t>
      </w:r>
      <w:r w:rsidR="001A771C" w:rsidRPr="002C4C08">
        <w:rPr>
          <w:sz w:val="22"/>
          <w:szCs w:val="22"/>
        </w:rPr>
        <w:t xml:space="preserve">overseas </w:t>
      </w:r>
      <w:r w:rsidR="003F4DAC" w:rsidRPr="002C4C08">
        <w:rPr>
          <w:sz w:val="22"/>
          <w:szCs w:val="22"/>
        </w:rPr>
        <w:t xml:space="preserve">studies </w:t>
      </w:r>
      <w:r w:rsidR="001A771C" w:rsidRPr="002C4C08">
        <w:rPr>
          <w:sz w:val="22"/>
          <w:szCs w:val="22"/>
        </w:rPr>
        <w:t>have</w:t>
      </w:r>
      <w:r w:rsidR="003F4DAC" w:rsidRPr="002C4C08">
        <w:rPr>
          <w:sz w:val="22"/>
          <w:szCs w:val="22"/>
        </w:rPr>
        <w:t xml:space="preserve"> </w:t>
      </w:r>
      <w:r w:rsidR="001A771C" w:rsidRPr="002C4C08">
        <w:rPr>
          <w:sz w:val="22"/>
          <w:szCs w:val="22"/>
        </w:rPr>
        <w:t>concluded</w:t>
      </w:r>
      <w:r w:rsidR="00EA73F7" w:rsidRPr="002C4C08">
        <w:rPr>
          <w:sz w:val="22"/>
          <w:szCs w:val="22"/>
        </w:rPr>
        <w:t xml:space="preserve"> that young</w:t>
      </w:r>
      <w:r w:rsidR="003F4DAC" w:rsidRPr="002C4C08">
        <w:rPr>
          <w:sz w:val="22"/>
          <w:szCs w:val="22"/>
        </w:rPr>
        <w:t xml:space="preserve"> people </w:t>
      </w:r>
      <w:r w:rsidR="0044629C" w:rsidRPr="002C4C08">
        <w:rPr>
          <w:sz w:val="22"/>
          <w:szCs w:val="22"/>
        </w:rPr>
        <w:t>are</w:t>
      </w:r>
      <w:r w:rsidR="003F4DAC" w:rsidRPr="002C4C08">
        <w:rPr>
          <w:sz w:val="22"/>
          <w:szCs w:val="22"/>
        </w:rPr>
        <w:t xml:space="preserve"> mo</w:t>
      </w:r>
      <w:r w:rsidR="001A771C" w:rsidRPr="002C4C08">
        <w:rPr>
          <w:sz w:val="22"/>
          <w:szCs w:val="22"/>
        </w:rPr>
        <w:t xml:space="preserve">re likely than adults to </w:t>
      </w:r>
      <w:r w:rsidR="00EA73F7" w:rsidRPr="002C4C08">
        <w:rPr>
          <w:sz w:val="22"/>
          <w:szCs w:val="22"/>
        </w:rPr>
        <w:t>be problem gamblers</w:t>
      </w:r>
      <w:r w:rsidR="003F4DAC" w:rsidRPr="002C4C08">
        <w:rPr>
          <w:sz w:val="22"/>
          <w:szCs w:val="22"/>
        </w:rPr>
        <w:t xml:space="preserve">. </w:t>
      </w:r>
      <w:r w:rsidR="001A771C" w:rsidRPr="002C4C08">
        <w:rPr>
          <w:sz w:val="22"/>
          <w:szCs w:val="22"/>
        </w:rPr>
        <w:t xml:space="preserve"> </w:t>
      </w:r>
      <w:r w:rsidR="003F4DAC" w:rsidRPr="002C4C08">
        <w:rPr>
          <w:sz w:val="22"/>
          <w:szCs w:val="22"/>
        </w:rPr>
        <w:t xml:space="preserve">However, </w:t>
      </w:r>
      <w:r w:rsidR="001A771C" w:rsidRPr="002C4C08">
        <w:rPr>
          <w:sz w:val="22"/>
          <w:szCs w:val="22"/>
        </w:rPr>
        <w:t xml:space="preserve">this does not appear to be the case in New Zealand (Rossen et al 2013).  </w:t>
      </w:r>
      <w:r w:rsidRPr="002C4C08">
        <w:rPr>
          <w:sz w:val="22"/>
          <w:szCs w:val="22"/>
        </w:rPr>
        <w:t xml:space="preserve">Even so, vulnerability to gambling harm among young people </w:t>
      </w:r>
      <w:r w:rsidR="002C4C08" w:rsidRPr="002C4C08">
        <w:rPr>
          <w:sz w:val="22"/>
          <w:szCs w:val="22"/>
        </w:rPr>
        <w:t xml:space="preserve">in New Zealand </w:t>
      </w:r>
      <w:r w:rsidRPr="002C4C08">
        <w:rPr>
          <w:sz w:val="22"/>
          <w:szCs w:val="22"/>
        </w:rPr>
        <w:t>appears to exhibit patterns that are similar to the patterns among adults</w:t>
      </w:r>
      <w:r w:rsidR="00E6719E" w:rsidRPr="002C4C08">
        <w:rPr>
          <w:sz w:val="22"/>
          <w:szCs w:val="22"/>
        </w:rPr>
        <w:t>.</w:t>
      </w:r>
      <w:r w:rsidRPr="002C4C08">
        <w:rPr>
          <w:sz w:val="22"/>
          <w:szCs w:val="22"/>
        </w:rPr>
        <w:t xml:space="preserve">  </w:t>
      </w:r>
    </w:p>
    <w:p w:rsidR="0087792C" w:rsidRDefault="0087792C" w:rsidP="0087792C">
      <w:pPr>
        <w:rPr>
          <w:sz w:val="22"/>
          <w:szCs w:val="22"/>
        </w:rPr>
      </w:pPr>
    </w:p>
    <w:p w:rsidR="003F4DAC" w:rsidRPr="002C4C08" w:rsidRDefault="00B85FF3" w:rsidP="006D48A1">
      <w:pPr>
        <w:numPr>
          <w:ilvl w:val="0"/>
          <w:numId w:val="41"/>
        </w:numPr>
        <w:ind w:left="567" w:hanging="567"/>
        <w:rPr>
          <w:sz w:val="22"/>
          <w:szCs w:val="22"/>
        </w:rPr>
      </w:pPr>
      <w:r w:rsidRPr="002C4C08">
        <w:rPr>
          <w:sz w:val="22"/>
          <w:szCs w:val="22"/>
        </w:rPr>
        <w:t xml:space="preserve">In Youth’12, the third national health and wellbeing survey of secondary school </w:t>
      </w:r>
      <w:r w:rsidR="002C4C08" w:rsidRPr="002C4C08">
        <w:rPr>
          <w:sz w:val="22"/>
          <w:szCs w:val="22"/>
        </w:rPr>
        <w:t>students</w:t>
      </w:r>
      <w:r w:rsidRPr="002C4C08">
        <w:rPr>
          <w:sz w:val="22"/>
          <w:szCs w:val="22"/>
        </w:rPr>
        <w:t xml:space="preserve">, </w:t>
      </w:r>
      <w:r w:rsidR="002C4C08" w:rsidRPr="002C4C08">
        <w:rPr>
          <w:sz w:val="22"/>
          <w:szCs w:val="22"/>
        </w:rPr>
        <w:t xml:space="preserve">students who were male, Māori, Pacific or Asian, </w:t>
      </w:r>
      <w:r w:rsidR="002C4C08">
        <w:rPr>
          <w:sz w:val="22"/>
          <w:szCs w:val="22"/>
        </w:rPr>
        <w:t xml:space="preserve">and </w:t>
      </w:r>
      <w:r w:rsidR="002C4C08" w:rsidRPr="002C4C08">
        <w:rPr>
          <w:sz w:val="22"/>
          <w:szCs w:val="22"/>
        </w:rPr>
        <w:t xml:space="preserve">students who lived in higher deprivation </w:t>
      </w:r>
      <w:r w:rsidR="006D48A1">
        <w:rPr>
          <w:sz w:val="22"/>
          <w:szCs w:val="22"/>
        </w:rPr>
        <w:t xml:space="preserve">or </w:t>
      </w:r>
      <w:r w:rsidR="006D48A1" w:rsidRPr="002C4C08">
        <w:rPr>
          <w:sz w:val="22"/>
          <w:szCs w:val="22"/>
        </w:rPr>
        <w:t xml:space="preserve">urban </w:t>
      </w:r>
      <w:r w:rsidR="002C4C08" w:rsidRPr="002C4C08">
        <w:rPr>
          <w:sz w:val="22"/>
          <w:szCs w:val="22"/>
        </w:rPr>
        <w:t>neighbourhoods were more likely than their counterparts to report indicators</w:t>
      </w:r>
      <w:r w:rsidR="006D48A1">
        <w:rPr>
          <w:sz w:val="22"/>
          <w:szCs w:val="22"/>
        </w:rPr>
        <w:t xml:space="preserve"> </w:t>
      </w:r>
      <w:r w:rsidR="002C4C08" w:rsidRPr="002C4C08">
        <w:rPr>
          <w:sz w:val="22"/>
          <w:szCs w:val="22"/>
        </w:rPr>
        <w:t xml:space="preserve">that their own gambling was unhealthy (Rossen et al 2013).  Students who lived in higher deprivation </w:t>
      </w:r>
      <w:r w:rsidR="006D48A1">
        <w:rPr>
          <w:sz w:val="22"/>
          <w:szCs w:val="22"/>
        </w:rPr>
        <w:t xml:space="preserve">or </w:t>
      </w:r>
      <w:r w:rsidR="006D48A1" w:rsidRPr="002C4C08">
        <w:rPr>
          <w:sz w:val="22"/>
          <w:szCs w:val="22"/>
        </w:rPr>
        <w:t xml:space="preserve">urban </w:t>
      </w:r>
      <w:r w:rsidR="002C4C08" w:rsidRPr="002C4C08">
        <w:rPr>
          <w:sz w:val="22"/>
          <w:szCs w:val="22"/>
        </w:rPr>
        <w:t xml:space="preserve">neighbourhoods were more likely than their counterparts to report indicators of harm as a result of family members’ gambling.  </w:t>
      </w:r>
    </w:p>
    <w:p w:rsidR="003F4DAC" w:rsidRDefault="003F4DAC" w:rsidP="006D48A1">
      <w:pPr>
        <w:rPr>
          <w:sz w:val="22"/>
          <w:szCs w:val="22"/>
        </w:rPr>
      </w:pPr>
    </w:p>
    <w:p w:rsidR="00D00AE3" w:rsidRPr="00D00AE3" w:rsidRDefault="00D00AE3" w:rsidP="00BD2BF1">
      <w:pPr>
        <w:numPr>
          <w:ilvl w:val="0"/>
          <w:numId w:val="41"/>
        </w:numPr>
        <w:ind w:left="567" w:hanging="567"/>
        <w:rPr>
          <w:sz w:val="22"/>
          <w:szCs w:val="22"/>
        </w:rPr>
      </w:pPr>
      <w:r w:rsidRPr="00D00AE3">
        <w:rPr>
          <w:sz w:val="22"/>
          <w:szCs w:val="22"/>
        </w:rPr>
        <w:t xml:space="preserve">Some overseas studies have found a growing issue with at-risk gambling among older adults, possibly related to the marketing of gambling venues as a forum for social interaction. </w:t>
      </w:r>
      <w:r>
        <w:rPr>
          <w:sz w:val="22"/>
          <w:szCs w:val="22"/>
        </w:rPr>
        <w:t xml:space="preserve"> </w:t>
      </w:r>
      <w:r w:rsidRPr="00D00AE3">
        <w:rPr>
          <w:sz w:val="22"/>
          <w:szCs w:val="22"/>
        </w:rPr>
        <w:t xml:space="preserve">However, there has been little or no evidence of this issue in New Zealand to date. </w:t>
      </w:r>
      <w:r>
        <w:rPr>
          <w:sz w:val="22"/>
          <w:szCs w:val="22"/>
        </w:rPr>
        <w:t xml:space="preserve"> </w:t>
      </w:r>
      <w:r w:rsidRPr="00D00AE3">
        <w:rPr>
          <w:sz w:val="22"/>
          <w:szCs w:val="22"/>
        </w:rPr>
        <w:t>Even so, the aging of the New Zealand population suggests a need to monitor and be responsive to the needs of this population segment.</w:t>
      </w:r>
    </w:p>
    <w:p w:rsidR="00D00AE3" w:rsidRDefault="00D00AE3" w:rsidP="00D00AE3">
      <w:pPr>
        <w:rPr>
          <w:sz w:val="22"/>
          <w:szCs w:val="22"/>
        </w:rPr>
      </w:pPr>
    </w:p>
    <w:p w:rsidR="00FE6178" w:rsidRDefault="00B9072B" w:rsidP="00CA2C7A">
      <w:pPr>
        <w:numPr>
          <w:ilvl w:val="0"/>
          <w:numId w:val="41"/>
        </w:numPr>
        <w:ind w:left="567" w:hanging="567"/>
        <w:rPr>
          <w:sz w:val="22"/>
          <w:szCs w:val="22"/>
        </w:rPr>
      </w:pPr>
      <w:r>
        <w:rPr>
          <w:sz w:val="22"/>
          <w:szCs w:val="22"/>
        </w:rPr>
        <w:t>Spending</w:t>
      </w:r>
      <w:r w:rsidR="009F2D15" w:rsidRPr="00F10FDB">
        <w:rPr>
          <w:sz w:val="22"/>
          <w:szCs w:val="22"/>
        </w:rPr>
        <w:t xml:space="preserve"> in high-deprivation areas </w:t>
      </w:r>
      <w:r w:rsidR="00406B91">
        <w:rPr>
          <w:sz w:val="22"/>
          <w:szCs w:val="22"/>
        </w:rPr>
        <w:t xml:space="preserve">on </w:t>
      </w:r>
      <w:r w:rsidR="006C37D8">
        <w:rPr>
          <w:sz w:val="22"/>
          <w:szCs w:val="22"/>
        </w:rPr>
        <w:t>NCGMs</w:t>
      </w:r>
      <w:r w:rsidR="00B45659">
        <w:rPr>
          <w:sz w:val="22"/>
          <w:szCs w:val="22"/>
        </w:rPr>
        <w:t>, and possibly on other forms of gambling</w:t>
      </w:r>
      <w:r>
        <w:rPr>
          <w:sz w:val="22"/>
          <w:szCs w:val="22"/>
        </w:rPr>
        <w:t>,</w:t>
      </w:r>
      <w:r w:rsidR="00406B91">
        <w:rPr>
          <w:sz w:val="22"/>
          <w:szCs w:val="22"/>
        </w:rPr>
        <w:t xml:space="preserve"> </w:t>
      </w:r>
      <w:r>
        <w:rPr>
          <w:sz w:val="22"/>
          <w:szCs w:val="22"/>
        </w:rPr>
        <w:t>is</w:t>
      </w:r>
      <w:r w:rsidRPr="00F10FDB">
        <w:rPr>
          <w:sz w:val="22"/>
          <w:szCs w:val="22"/>
        </w:rPr>
        <w:t xml:space="preserve"> disproportionate</w:t>
      </w:r>
      <w:r>
        <w:rPr>
          <w:sz w:val="22"/>
          <w:szCs w:val="22"/>
        </w:rPr>
        <w:t xml:space="preserve">ly high </w:t>
      </w:r>
      <w:r w:rsidR="001A771C">
        <w:rPr>
          <w:sz w:val="22"/>
          <w:szCs w:val="22"/>
        </w:rPr>
        <w:t>(Allen and Clarke 2015</w:t>
      </w:r>
      <w:r w:rsidR="00121B48">
        <w:rPr>
          <w:sz w:val="22"/>
          <w:szCs w:val="22"/>
        </w:rPr>
        <w:t>a</w:t>
      </w:r>
      <w:r w:rsidR="00406B91">
        <w:rPr>
          <w:sz w:val="22"/>
          <w:szCs w:val="22"/>
        </w:rPr>
        <w:t>)</w:t>
      </w:r>
      <w:r w:rsidR="00F10FDB" w:rsidRPr="00F10FDB">
        <w:rPr>
          <w:sz w:val="22"/>
          <w:szCs w:val="22"/>
        </w:rPr>
        <w:t>.</w:t>
      </w:r>
      <w:r w:rsidR="000D42F2" w:rsidRPr="00F10FDB">
        <w:rPr>
          <w:sz w:val="22"/>
          <w:szCs w:val="22"/>
        </w:rPr>
        <w:t xml:space="preserve"> </w:t>
      </w:r>
      <w:r w:rsidR="00D00AE3">
        <w:rPr>
          <w:sz w:val="22"/>
          <w:szCs w:val="22"/>
        </w:rPr>
        <w:t xml:space="preserve"> </w:t>
      </w:r>
    </w:p>
    <w:p w:rsidR="00FE6178" w:rsidRDefault="00FE6178" w:rsidP="00FE6178">
      <w:pPr>
        <w:rPr>
          <w:sz w:val="22"/>
          <w:szCs w:val="22"/>
        </w:rPr>
      </w:pPr>
    </w:p>
    <w:p w:rsidR="0036073D" w:rsidRPr="00B77D78" w:rsidRDefault="0036073D" w:rsidP="0036073D">
      <w:pPr>
        <w:pStyle w:val="Heading3"/>
        <w:rPr>
          <w:rFonts w:eastAsia="Calibri"/>
        </w:rPr>
      </w:pPr>
      <w:bookmarkStart w:id="15" w:name="_Toc259613861"/>
      <w:bookmarkStart w:id="16" w:name="_Toc228684249"/>
      <w:r>
        <w:rPr>
          <w:rFonts w:eastAsia="Calibri"/>
        </w:rPr>
        <w:t>Help-seeking</w:t>
      </w:r>
    </w:p>
    <w:p w:rsidR="00977F0E" w:rsidRDefault="001F4F13" w:rsidP="005F1090">
      <w:pPr>
        <w:keepLines/>
        <w:numPr>
          <w:ilvl w:val="0"/>
          <w:numId w:val="41"/>
        </w:numPr>
        <w:ind w:left="567" w:hanging="567"/>
        <w:rPr>
          <w:sz w:val="22"/>
          <w:szCs w:val="22"/>
        </w:rPr>
      </w:pPr>
      <w:r>
        <w:rPr>
          <w:sz w:val="22"/>
          <w:szCs w:val="22"/>
        </w:rPr>
        <w:t>F</w:t>
      </w:r>
      <w:r w:rsidR="00BD0777">
        <w:rPr>
          <w:sz w:val="22"/>
          <w:szCs w:val="22"/>
        </w:rPr>
        <w:t>r</w:t>
      </w:r>
      <w:r w:rsidR="00483C3C">
        <w:rPr>
          <w:sz w:val="22"/>
          <w:szCs w:val="22"/>
        </w:rPr>
        <w:t>o</w:t>
      </w:r>
      <w:r w:rsidR="00BD0777">
        <w:rPr>
          <w:sz w:val="22"/>
          <w:szCs w:val="22"/>
        </w:rPr>
        <w:t xml:space="preserve">m </w:t>
      </w:r>
      <w:r>
        <w:rPr>
          <w:sz w:val="22"/>
          <w:szCs w:val="22"/>
        </w:rPr>
        <w:t>2009/10 to 2014/15</w:t>
      </w:r>
      <w:r w:rsidR="00977F0E">
        <w:rPr>
          <w:sz w:val="22"/>
          <w:szCs w:val="22"/>
        </w:rPr>
        <w:t>, t</w:t>
      </w:r>
      <w:r w:rsidR="00472F66">
        <w:rPr>
          <w:sz w:val="22"/>
          <w:szCs w:val="22"/>
        </w:rPr>
        <w:t xml:space="preserve">he </w:t>
      </w:r>
      <w:r w:rsidR="00977F0E">
        <w:rPr>
          <w:sz w:val="22"/>
          <w:szCs w:val="22"/>
        </w:rPr>
        <w:t xml:space="preserve">total </w:t>
      </w:r>
      <w:r w:rsidR="00472F66">
        <w:rPr>
          <w:sz w:val="22"/>
          <w:szCs w:val="22"/>
        </w:rPr>
        <w:t>number of people help</w:t>
      </w:r>
      <w:r w:rsidR="000F6401">
        <w:rPr>
          <w:sz w:val="22"/>
          <w:szCs w:val="22"/>
        </w:rPr>
        <w:t>ed</w:t>
      </w:r>
      <w:r w:rsidR="00472F66">
        <w:rPr>
          <w:sz w:val="22"/>
          <w:szCs w:val="22"/>
        </w:rPr>
        <w:t xml:space="preserve"> </w:t>
      </w:r>
      <w:r w:rsidR="00684E1B">
        <w:rPr>
          <w:sz w:val="22"/>
          <w:szCs w:val="22"/>
        </w:rPr>
        <w:t xml:space="preserve">each year </w:t>
      </w:r>
      <w:r w:rsidR="000F6401">
        <w:rPr>
          <w:sz w:val="22"/>
          <w:szCs w:val="22"/>
        </w:rPr>
        <w:t>by</w:t>
      </w:r>
      <w:r w:rsidR="00472F66">
        <w:rPr>
          <w:sz w:val="22"/>
          <w:szCs w:val="22"/>
        </w:rPr>
        <w:t xml:space="preserve"> </w:t>
      </w:r>
      <w:r>
        <w:rPr>
          <w:sz w:val="22"/>
          <w:szCs w:val="22"/>
        </w:rPr>
        <w:t xml:space="preserve">Ministry-funded </w:t>
      </w:r>
      <w:r w:rsidR="00472F66">
        <w:rPr>
          <w:sz w:val="22"/>
          <w:szCs w:val="22"/>
        </w:rPr>
        <w:t xml:space="preserve">gambling intervention services </w:t>
      </w:r>
      <w:r>
        <w:rPr>
          <w:sz w:val="22"/>
          <w:szCs w:val="22"/>
        </w:rPr>
        <w:t>varied between 11,8</w:t>
      </w:r>
      <w:r w:rsidR="00FE0BB2">
        <w:rPr>
          <w:sz w:val="22"/>
          <w:szCs w:val="22"/>
        </w:rPr>
        <w:t xml:space="preserve">00 </w:t>
      </w:r>
      <w:r>
        <w:rPr>
          <w:sz w:val="22"/>
          <w:szCs w:val="22"/>
        </w:rPr>
        <w:t>and</w:t>
      </w:r>
      <w:r w:rsidR="00FE0BB2">
        <w:rPr>
          <w:sz w:val="22"/>
          <w:szCs w:val="22"/>
        </w:rPr>
        <w:t xml:space="preserve"> 13,</w:t>
      </w:r>
      <w:r>
        <w:rPr>
          <w:sz w:val="22"/>
          <w:szCs w:val="22"/>
        </w:rPr>
        <w:t>3</w:t>
      </w:r>
      <w:r w:rsidR="001A60DE">
        <w:rPr>
          <w:sz w:val="22"/>
          <w:szCs w:val="22"/>
        </w:rPr>
        <w:t>00</w:t>
      </w:r>
      <w:r w:rsidR="00D00AE3">
        <w:rPr>
          <w:sz w:val="22"/>
          <w:szCs w:val="22"/>
        </w:rPr>
        <w:t xml:space="preserve"> (including brief screening interventions in non-clinical settings)</w:t>
      </w:r>
      <w:r w:rsidR="00977F0E">
        <w:rPr>
          <w:sz w:val="22"/>
          <w:szCs w:val="22"/>
        </w:rPr>
        <w:t xml:space="preserve">. </w:t>
      </w:r>
      <w:r w:rsidR="00D00AE3">
        <w:rPr>
          <w:sz w:val="22"/>
          <w:szCs w:val="22"/>
        </w:rPr>
        <w:t xml:space="preserve"> </w:t>
      </w:r>
      <w:r w:rsidR="0087792C">
        <w:rPr>
          <w:sz w:val="22"/>
          <w:szCs w:val="22"/>
        </w:rPr>
        <w:t>Excluding brief interventions, t</w:t>
      </w:r>
      <w:r>
        <w:rPr>
          <w:sz w:val="22"/>
          <w:szCs w:val="22"/>
        </w:rPr>
        <w:t xml:space="preserve">he 2014/15 figure </w:t>
      </w:r>
      <w:r w:rsidR="0087792C">
        <w:rPr>
          <w:sz w:val="22"/>
          <w:szCs w:val="22"/>
        </w:rPr>
        <w:t>was over</w:t>
      </w:r>
      <w:r>
        <w:rPr>
          <w:sz w:val="22"/>
          <w:szCs w:val="22"/>
        </w:rPr>
        <w:t xml:space="preserve"> 7,200</w:t>
      </w:r>
      <w:r w:rsidR="00977F0E">
        <w:rPr>
          <w:sz w:val="22"/>
          <w:szCs w:val="22"/>
        </w:rPr>
        <w:t xml:space="preserve">, </w:t>
      </w:r>
      <w:r>
        <w:rPr>
          <w:sz w:val="22"/>
          <w:szCs w:val="22"/>
        </w:rPr>
        <w:t>more than</w:t>
      </w:r>
      <w:r w:rsidR="00977F0E">
        <w:rPr>
          <w:sz w:val="22"/>
          <w:szCs w:val="22"/>
        </w:rPr>
        <w:t xml:space="preserve"> double the equivalent </w:t>
      </w:r>
      <w:r w:rsidR="0087792C">
        <w:rPr>
          <w:sz w:val="22"/>
          <w:szCs w:val="22"/>
        </w:rPr>
        <w:t>figure</w:t>
      </w:r>
      <w:r w:rsidR="00977F0E">
        <w:rPr>
          <w:sz w:val="22"/>
          <w:szCs w:val="22"/>
        </w:rPr>
        <w:t xml:space="preserve"> in 2004/05</w:t>
      </w:r>
      <w:r w:rsidR="00B029AA">
        <w:rPr>
          <w:sz w:val="22"/>
          <w:szCs w:val="22"/>
        </w:rPr>
        <w:t>, and around 6,500 of these presentations were attributed to the four current levy-paying sectors</w:t>
      </w:r>
      <w:r w:rsidR="00895CC2">
        <w:rPr>
          <w:sz w:val="22"/>
          <w:szCs w:val="22"/>
        </w:rPr>
        <w:t>.</w:t>
      </w:r>
      <w:r w:rsidR="00B029AA">
        <w:rPr>
          <w:sz w:val="22"/>
          <w:szCs w:val="22"/>
        </w:rPr>
        <w:t xml:space="preserve">  </w:t>
      </w:r>
    </w:p>
    <w:p w:rsidR="00977F0E" w:rsidRDefault="00977F0E" w:rsidP="00DD6480">
      <w:pPr>
        <w:rPr>
          <w:sz w:val="22"/>
          <w:szCs w:val="22"/>
        </w:rPr>
      </w:pPr>
    </w:p>
    <w:p w:rsidR="001F4F13" w:rsidRPr="00256B36" w:rsidRDefault="0087792C" w:rsidP="00256B36">
      <w:pPr>
        <w:numPr>
          <w:ilvl w:val="0"/>
          <w:numId w:val="41"/>
        </w:numPr>
        <w:ind w:left="567" w:hanging="567"/>
        <w:rPr>
          <w:sz w:val="22"/>
          <w:szCs w:val="22"/>
        </w:rPr>
      </w:pPr>
      <w:r>
        <w:rPr>
          <w:sz w:val="22"/>
          <w:szCs w:val="22"/>
        </w:rPr>
        <w:t>Excluding brief interventions, in 2014/15</w:t>
      </w:r>
      <w:r w:rsidR="001F4F13" w:rsidRPr="00256B36">
        <w:rPr>
          <w:sz w:val="22"/>
          <w:szCs w:val="22"/>
        </w:rPr>
        <w:t xml:space="preserve"> the total number of clients was the highest since the Ministry assumed responsibility for problem gambling services on 1 July 2004, as were the total numbers of new clients and gambler clients. </w:t>
      </w:r>
      <w:r w:rsidR="00D00AE3">
        <w:rPr>
          <w:sz w:val="22"/>
          <w:szCs w:val="22"/>
        </w:rPr>
        <w:t xml:space="preserve"> </w:t>
      </w:r>
      <w:r w:rsidR="001F4F13" w:rsidRPr="00256B36">
        <w:rPr>
          <w:sz w:val="22"/>
          <w:szCs w:val="22"/>
        </w:rPr>
        <w:t>The total number of existing clients was higher only in 2012/13 and 2013/14, and the total number of family/affected other clients was higher only in 2013/14.</w:t>
      </w:r>
    </w:p>
    <w:p w:rsidR="001F4F13" w:rsidRPr="00256B36" w:rsidRDefault="001F4F13" w:rsidP="001F4F13">
      <w:pPr>
        <w:rPr>
          <w:sz w:val="22"/>
          <w:szCs w:val="22"/>
        </w:rPr>
      </w:pPr>
    </w:p>
    <w:p w:rsidR="001F4F13" w:rsidRPr="00256B36" w:rsidRDefault="0087792C" w:rsidP="00256B36">
      <w:pPr>
        <w:numPr>
          <w:ilvl w:val="0"/>
          <w:numId w:val="41"/>
        </w:numPr>
        <w:ind w:left="567" w:hanging="567"/>
        <w:rPr>
          <w:sz w:val="22"/>
          <w:szCs w:val="22"/>
        </w:rPr>
      </w:pPr>
      <w:r>
        <w:rPr>
          <w:sz w:val="22"/>
          <w:szCs w:val="22"/>
        </w:rPr>
        <w:t xml:space="preserve">Excluding brief interventions, </w:t>
      </w:r>
      <w:r w:rsidR="001F4F13" w:rsidRPr="00256B36">
        <w:rPr>
          <w:sz w:val="22"/>
          <w:szCs w:val="22"/>
        </w:rPr>
        <w:t xml:space="preserve">Māori made up 30.0 percent of clients, Pacific peoples 22.1 percent and East Asian 6.6 percent. </w:t>
      </w:r>
      <w:r w:rsidR="00256B36">
        <w:rPr>
          <w:sz w:val="22"/>
          <w:szCs w:val="22"/>
        </w:rPr>
        <w:t xml:space="preserve"> </w:t>
      </w:r>
      <w:r w:rsidR="001F4F13" w:rsidRPr="00256B36">
        <w:rPr>
          <w:sz w:val="22"/>
          <w:szCs w:val="22"/>
        </w:rPr>
        <w:t xml:space="preserve">Since 2004/05, the figure for Māori has ranged between 26.9 percent and 36.0 percent. </w:t>
      </w:r>
      <w:r w:rsidR="00256B36">
        <w:rPr>
          <w:sz w:val="22"/>
          <w:szCs w:val="22"/>
        </w:rPr>
        <w:t xml:space="preserve"> </w:t>
      </w:r>
      <w:r w:rsidR="001F4F13" w:rsidRPr="00256B36">
        <w:rPr>
          <w:sz w:val="22"/>
          <w:szCs w:val="22"/>
        </w:rPr>
        <w:t xml:space="preserve">By contrast, the 2012/13, 2013/14 and 2014/15 figures for Pacific peoples, which were all over 22 percent, were the highest since the Ministry assumed responsibility for these services. </w:t>
      </w:r>
      <w:r w:rsidR="00256B36">
        <w:rPr>
          <w:sz w:val="22"/>
          <w:szCs w:val="22"/>
        </w:rPr>
        <w:t xml:space="preserve"> </w:t>
      </w:r>
      <w:r w:rsidR="001F4F13" w:rsidRPr="00256B36">
        <w:rPr>
          <w:sz w:val="22"/>
          <w:szCs w:val="22"/>
        </w:rPr>
        <w:t xml:space="preserve">Until 2012/13, the highest previous figure had been 13.7 percent, in 2011/12. </w:t>
      </w:r>
      <w:r w:rsidR="00256B36">
        <w:rPr>
          <w:sz w:val="22"/>
          <w:szCs w:val="22"/>
        </w:rPr>
        <w:t xml:space="preserve"> </w:t>
      </w:r>
      <w:r w:rsidR="001F4F13" w:rsidRPr="00256B36">
        <w:rPr>
          <w:sz w:val="22"/>
          <w:szCs w:val="22"/>
        </w:rPr>
        <w:t>The high level of service use by Māori has always been encouraging; the recent substantial increase in uptake of services by Pacific peoples is also encouraging.</w:t>
      </w:r>
    </w:p>
    <w:p w:rsidR="001F4F13" w:rsidRPr="00256B36" w:rsidRDefault="001F4F13" w:rsidP="001F4F13">
      <w:pPr>
        <w:rPr>
          <w:sz w:val="22"/>
          <w:szCs w:val="22"/>
        </w:rPr>
      </w:pPr>
    </w:p>
    <w:p w:rsidR="00AD12CC" w:rsidRPr="00AE5ADC" w:rsidRDefault="001F4F13" w:rsidP="00AE5ADC">
      <w:pPr>
        <w:numPr>
          <w:ilvl w:val="0"/>
          <w:numId w:val="41"/>
        </w:numPr>
        <w:ind w:left="567" w:hanging="567"/>
        <w:rPr>
          <w:sz w:val="22"/>
          <w:szCs w:val="22"/>
        </w:rPr>
      </w:pPr>
      <w:r w:rsidRPr="00256B36">
        <w:rPr>
          <w:sz w:val="22"/>
          <w:szCs w:val="22"/>
        </w:rPr>
        <w:t>At 51</w:t>
      </w:r>
      <w:r w:rsidR="0081630B">
        <w:rPr>
          <w:sz w:val="22"/>
          <w:szCs w:val="22"/>
        </w:rPr>
        <w:t>.7</w:t>
      </w:r>
      <w:r w:rsidRPr="00256B36">
        <w:rPr>
          <w:sz w:val="22"/>
          <w:szCs w:val="22"/>
        </w:rPr>
        <w:t xml:space="preserve"> percent, NCGMs continued to be the primary mode of problem gambling most often cited by new gambler clients in 2014/15. </w:t>
      </w:r>
      <w:r w:rsidR="00256B36">
        <w:rPr>
          <w:sz w:val="22"/>
          <w:szCs w:val="22"/>
        </w:rPr>
        <w:t xml:space="preserve"> </w:t>
      </w:r>
      <w:r w:rsidRPr="00256B36">
        <w:rPr>
          <w:sz w:val="22"/>
          <w:szCs w:val="22"/>
        </w:rPr>
        <w:t>Other forms of gambling that featured prominently were casino gaming machines (11.2 pe</w:t>
      </w:r>
      <w:r w:rsidR="0081630B">
        <w:rPr>
          <w:sz w:val="22"/>
          <w:szCs w:val="22"/>
        </w:rPr>
        <w:t>rcent); casino table games (10.2</w:t>
      </w:r>
      <w:r w:rsidRPr="00256B36">
        <w:rPr>
          <w:sz w:val="22"/>
          <w:szCs w:val="22"/>
        </w:rPr>
        <w:t xml:space="preserve"> percent); betting on horse or dog races (6.2 percent); </w:t>
      </w:r>
      <w:r w:rsidR="0081630B">
        <w:rPr>
          <w:sz w:val="22"/>
          <w:szCs w:val="22"/>
        </w:rPr>
        <w:t>New Zealand Lotteries Commission products (8.6</w:t>
      </w:r>
      <w:r w:rsidRPr="00256B36">
        <w:rPr>
          <w:sz w:val="22"/>
          <w:szCs w:val="22"/>
        </w:rPr>
        <w:t> percent); and sports betting (3.8 percent).</w:t>
      </w:r>
      <w:r w:rsidR="0081630B">
        <w:rPr>
          <w:sz w:val="22"/>
          <w:szCs w:val="22"/>
        </w:rPr>
        <w:t xml:space="preserve">  Miscellaneous other forms of gambling made up the balance.</w:t>
      </w:r>
      <w:r w:rsidR="00D00AE3">
        <w:rPr>
          <w:sz w:val="22"/>
          <w:szCs w:val="22"/>
        </w:rPr>
        <w:t xml:space="preserve">  </w:t>
      </w:r>
      <w:r w:rsidR="00AD12CC" w:rsidRPr="00AE5ADC">
        <w:rPr>
          <w:sz w:val="22"/>
          <w:szCs w:val="22"/>
        </w:rPr>
        <w:t xml:space="preserve">As percentages of new gambler presentations attributed to the four current levy-paying sectors, the figures </w:t>
      </w:r>
      <w:r w:rsidR="00AE5ADC">
        <w:rPr>
          <w:sz w:val="22"/>
          <w:szCs w:val="22"/>
        </w:rPr>
        <w:t>were</w:t>
      </w:r>
      <w:r w:rsidR="00AD12CC" w:rsidRPr="00AE5ADC">
        <w:rPr>
          <w:sz w:val="22"/>
          <w:szCs w:val="22"/>
        </w:rPr>
        <w:t xml:space="preserve">: </w:t>
      </w:r>
    </w:p>
    <w:p w:rsidR="00AD12CC" w:rsidRDefault="00AD12CC" w:rsidP="00AD12CC">
      <w:pPr>
        <w:numPr>
          <w:ilvl w:val="0"/>
          <w:numId w:val="13"/>
        </w:numPr>
        <w:spacing w:before="120"/>
        <w:ind w:left="992" w:hanging="425"/>
        <w:rPr>
          <w:sz w:val="22"/>
          <w:szCs w:val="22"/>
        </w:rPr>
      </w:pPr>
      <w:r w:rsidRPr="00AD12CC">
        <w:rPr>
          <w:sz w:val="22"/>
          <w:szCs w:val="22"/>
        </w:rPr>
        <w:t>N</w:t>
      </w:r>
      <w:r>
        <w:rPr>
          <w:sz w:val="22"/>
          <w:szCs w:val="22"/>
        </w:rPr>
        <w:t>CGMs 56</w:t>
      </w:r>
      <w:r w:rsidR="00150AA8">
        <w:rPr>
          <w:sz w:val="22"/>
          <w:szCs w:val="22"/>
        </w:rPr>
        <w:t>.3</w:t>
      </w:r>
      <w:r>
        <w:rPr>
          <w:sz w:val="22"/>
          <w:szCs w:val="22"/>
        </w:rPr>
        <w:t>%</w:t>
      </w:r>
    </w:p>
    <w:p w:rsidR="00AD12CC" w:rsidRDefault="00AD12CC" w:rsidP="00AD12CC">
      <w:pPr>
        <w:numPr>
          <w:ilvl w:val="0"/>
          <w:numId w:val="13"/>
        </w:numPr>
        <w:spacing w:before="120"/>
        <w:ind w:left="992" w:hanging="425"/>
        <w:rPr>
          <w:sz w:val="22"/>
          <w:szCs w:val="22"/>
        </w:rPr>
      </w:pPr>
      <w:r w:rsidRPr="00AD12CC">
        <w:rPr>
          <w:sz w:val="22"/>
          <w:szCs w:val="22"/>
        </w:rPr>
        <w:t>casinos 2</w:t>
      </w:r>
      <w:r w:rsidR="00AE5ADC">
        <w:rPr>
          <w:sz w:val="22"/>
          <w:szCs w:val="22"/>
        </w:rPr>
        <w:t>3</w:t>
      </w:r>
      <w:r w:rsidR="00150AA8">
        <w:rPr>
          <w:sz w:val="22"/>
          <w:szCs w:val="22"/>
        </w:rPr>
        <w:t>.3</w:t>
      </w:r>
      <w:r>
        <w:rPr>
          <w:sz w:val="22"/>
          <w:szCs w:val="22"/>
        </w:rPr>
        <w:t>%</w:t>
      </w:r>
    </w:p>
    <w:p w:rsidR="00AD12CC" w:rsidRDefault="00AD12CC" w:rsidP="00AD12CC">
      <w:pPr>
        <w:numPr>
          <w:ilvl w:val="0"/>
          <w:numId w:val="13"/>
        </w:numPr>
        <w:spacing w:before="120"/>
        <w:ind w:left="992" w:hanging="425"/>
        <w:rPr>
          <w:sz w:val="22"/>
          <w:szCs w:val="22"/>
        </w:rPr>
      </w:pPr>
      <w:r w:rsidRPr="00AD12CC">
        <w:rPr>
          <w:sz w:val="22"/>
          <w:szCs w:val="22"/>
        </w:rPr>
        <w:t xml:space="preserve">New Zealand Racing Board </w:t>
      </w:r>
      <w:r w:rsidR="0087792C">
        <w:rPr>
          <w:sz w:val="22"/>
          <w:szCs w:val="22"/>
        </w:rPr>
        <w:t xml:space="preserve">betting products </w:t>
      </w:r>
      <w:r w:rsidR="00150AA8">
        <w:rPr>
          <w:sz w:val="22"/>
          <w:szCs w:val="22"/>
        </w:rPr>
        <w:t>10.9</w:t>
      </w:r>
      <w:r>
        <w:rPr>
          <w:sz w:val="22"/>
          <w:szCs w:val="22"/>
        </w:rPr>
        <w:t>%</w:t>
      </w:r>
    </w:p>
    <w:p w:rsidR="001F4F13" w:rsidRPr="00AD12CC" w:rsidRDefault="00AD12CC" w:rsidP="00AD12CC">
      <w:pPr>
        <w:numPr>
          <w:ilvl w:val="0"/>
          <w:numId w:val="13"/>
        </w:numPr>
        <w:spacing w:before="120"/>
        <w:ind w:left="992" w:hanging="425"/>
        <w:rPr>
          <w:sz w:val="22"/>
          <w:szCs w:val="22"/>
        </w:rPr>
      </w:pPr>
      <w:r w:rsidRPr="00AD12CC">
        <w:rPr>
          <w:sz w:val="22"/>
          <w:szCs w:val="22"/>
        </w:rPr>
        <w:t xml:space="preserve">New Zealand Lotteries Commission </w:t>
      </w:r>
      <w:r w:rsidR="0087792C">
        <w:rPr>
          <w:sz w:val="22"/>
          <w:szCs w:val="22"/>
        </w:rPr>
        <w:t xml:space="preserve">products </w:t>
      </w:r>
      <w:r w:rsidRPr="00AD12CC">
        <w:rPr>
          <w:sz w:val="22"/>
          <w:szCs w:val="22"/>
        </w:rPr>
        <w:t>9</w:t>
      </w:r>
      <w:r w:rsidR="00150AA8">
        <w:rPr>
          <w:sz w:val="22"/>
          <w:szCs w:val="22"/>
        </w:rPr>
        <w:t>.4</w:t>
      </w:r>
      <w:r w:rsidRPr="00AD12CC">
        <w:rPr>
          <w:sz w:val="22"/>
          <w:szCs w:val="22"/>
        </w:rPr>
        <w:t>%.</w:t>
      </w:r>
    </w:p>
    <w:p w:rsidR="0036073D" w:rsidRPr="00F10FDB" w:rsidRDefault="0036073D" w:rsidP="00256B36">
      <w:pPr>
        <w:rPr>
          <w:sz w:val="22"/>
          <w:szCs w:val="22"/>
        </w:rPr>
      </w:pPr>
    </w:p>
    <w:p w:rsidR="009F2D15" w:rsidRPr="00B77D78" w:rsidRDefault="001E2E71" w:rsidP="00E105D1">
      <w:pPr>
        <w:pStyle w:val="Heading2"/>
      </w:pPr>
      <w:bookmarkStart w:id="17" w:name="_Toc440029216"/>
      <w:bookmarkEnd w:id="15"/>
      <w:r>
        <w:t>Existing interventions</w:t>
      </w:r>
      <w:bookmarkEnd w:id="17"/>
    </w:p>
    <w:p w:rsidR="00B01D94" w:rsidRPr="00B77D78" w:rsidRDefault="00B01D94" w:rsidP="00B01D94">
      <w:pPr>
        <w:pStyle w:val="Heading3"/>
      </w:pPr>
      <w:r>
        <w:t>Legislative interventions</w:t>
      </w:r>
    </w:p>
    <w:p w:rsidR="00DF2C06" w:rsidRPr="00EB06F8" w:rsidRDefault="00684E1B" w:rsidP="00BE4AD3">
      <w:pPr>
        <w:numPr>
          <w:ilvl w:val="0"/>
          <w:numId w:val="41"/>
        </w:numPr>
        <w:ind w:left="567" w:hanging="567"/>
        <w:rPr>
          <w:sz w:val="22"/>
          <w:szCs w:val="22"/>
        </w:rPr>
      </w:pPr>
      <w:r w:rsidRPr="00982A31">
        <w:rPr>
          <w:sz w:val="22"/>
          <w:szCs w:val="22"/>
        </w:rPr>
        <w:t xml:space="preserve">One objective of </w:t>
      </w:r>
      <w:hyperlink r:id="rId11" w:history="1">
        <w:r w:rsidRPr="00982A31">
          <w:rPr>
            <w:sz w:val="22"/>
            <w:szCs w:val="22"/>
          </w:rPr>
          <w:t>the</w:t>
        </w:r>
      </w:hyperlink>
      <w:r w:rsidR="009F2D15" w:rsidRPr="00982A31">
        <w:rPr>
          <w:sz w:val="22"/>
          <w:szCs w:val="22"/>
        </w:rPr>
        <w:t xml:space="preserve"> Gambling Act 2003 </w:t>
      </w:r>
      <w:r w:rsidR="007A60CD" w:rsidRPr="00982A31">
        <w:rPr>
          <w:sz w:val="22"/>
          <w:szCs w:val="22"/>
        </w:rPr>
        <w:t xml:space="preserve">(the Act) </w:t>
      </w:r>
      <w:r w:rsidRPr="00982A31">
        <w:rPr>
          <w:sz w:val="22"/>
          <w:szCs w:val="22"/>
        </w:rPr>
        <w:t xml:space="preserve">is ‘to prevent and minimise harm </w:t>
      </w:r>
      <w:r w:rsidR="00E32B0E">
        <w:rPr>
          <w:sz w:val="22"/>
          <w:szCs w:val="22"/>
        </w:rPr>
        <w:t>from</w:t>
      </w:r>
      <w:r w:rsidRPr="00982A31">
        <w:rPr>
          <w:sz w:val="22"/>
          <w:szCs w:val="22"/>
        </w:rPr>
        <w:t xml:space="preserve"> gambling, including problem gambling’ [section 3(b)]. </w:t>
      </w:r>
      <w:r w:rsidR="00BE4AD3">
        <w:rPr>
          <w:sz w:val="22"/>
          <w:szCs w:val="22"/>
        </w:rPr>
        <w:t xml:space="preserve"> </w:t>
      </w:r>
      <w:r w:rsidR="00DF2C06" w:rsidRPr="00EB06F8">
        <w:rPr>
          <w:sz w:val="22"/>
          <w:szCs w:val="22"/>
        </w:rPr>
        <w:t>In the Act, ‘harm’:</w:t>
      </w:r>
    </w:p>
    <w:p w:rsidR="00DF2C06" w:rsidRPr="00DF2C06" w:rsidRDefault="00DF2C06" w:rsidP="00BE4AD3">
      <w:pPr>
        <w:spacing w:before="120"/>
        <w:ind w:left="993" w:hanging="426"/>
        <w:rPr>
          <w:sz w:val="22"/>
          <w:szCs w:val="22"/>
        </w:rPr>
      </w:pPr>
      <w:r w:rsidRPr="00DF2C06">
        <w:rPr>
          <w:sz w:val="22"/>
          <w:szCs w:val="22"/>
        </w:rPr>
        <w:t>(a)</w:t>
      </w:r>
      <w:r w:rsidRPr="00DF2C06">
        <w:rPr>
          <w:sz w:val="22"/>
          <w:szCs w:val="22"/>
        </w:rPr>
        <w:tab/>
        <w:t>means harm or distress of any kind arising from, or caused or exacerbated by, a person’s gambling; and</w:t>
      </w:r>
    </w:p>
    <w:p w:rsidR="00DF2C06" w:rsidRPr="00DF2C06" w:rsidRDefault="00DF2C06" w:rsidP="00BE4AD3">
      <w:pPr>
        <w:spacing w:before="120"/>
        <w:ind w:left="993" w:hanging="426"/>
        <w:rPr>
          <w:sz w:val="22"/>
          <w:szCs w:val="22"/>
        </w:rPr>
      </w:pPr>
      <w:r w:rsidRPr="00DF2C06">
        <w:rPr>
          <w:sz w:val="22"/>
          <w:szCs w:val="22"/>
        </w:rPr>
        <w:t>(b)</w:t>
      </w:r>
      <w:r w:rsidRPr="00DF2C06">
        <w:rPr>
          <w:sz w:val="22"/>
          <w:szCs w:val="22"/>
        </w:rPr>
        <w:tab/>
        <w:t>includes personal, social, or economic harm suffered –</w:t>
      </w:r>
    </w:p>
    <w:p w:rsidR="00DF2C06" w:rsidRPr="00DF2C06" w:rsidRDefault="00DF2C06" w:rsidP="00BE4AD3">
      <w:pPr>
        <w:spacing w:before="120"/>
        <w:ind w:left="1560" w:hanging="567"/>
        <w:rPr>
          <w:sz w:val="22"/>
          <w:szCs w:val="22"/>
        </w:rPr>
      </w:pPr>
      <w:r w:rsidRPr="00DF2C06">
        <w:rPr>
          <w:sz w:val="22"/>
          <w:szCs w:val="22"/>
        </w:rPr>
        <w:t>(i)</w:t>
      </w:r>
      <w:r w:rsidRPr="00DF2C06">
        <w:rPr>
          <w:sz w:val="22"/>
          <w:szCs w:val="22"/>
        </w:rPr>
        <w:tab/>
        <w:t>by the person; or</w:t>
      </w:r>
    </w:p>
    <w:p w:rsidR="00DF2C06" w:rsidRPr="00DF2C06" w:rsidRDefault="00DF2C06" w:rsidP="00BE4AD3">
      <w:pPr>
        <w:spacing w:before="120"/>
        <w:ind w:left="1560" w:hanging="567"/>
        <w:rPr>
          <w:sz w:val="22"/>
          <w:szCs w:val="22"/>
        </w:rPr>
      </w:pPr>
      <w:r w:rsidRPr="00DF2C06">
        <w:rPr>
          <w:sz w:val="22"/>
          <w:szCs w:val="22"/>
        </w:rPr>
        <w:lastRenderedPageBreak/>
        <w:t>(ii)</w:t>
      </w:r>
      <w:r w:rsidRPr="00DF2C06">
        <w:rPr>
          <w:sz w:val="22"/>
          <w:szCs w:val="22"/>
        </w:rPr>
        <w:tab/>
        <w:t>by the person’s spouse, civil union partner, de facto partner, family, whānau, or wider community; or</w:t>
      </w:r>
    </w:p>
    <w:p w:rsidR="00DF2C06" w:rsidRPr="00DF2C06" w:rsidRDefault="00DF2C06" w:rsidP="00BE4AD3">
      <w:pPr>
        <w:spacing w:before="120"/>
        <w:ind w:left="1560" w:hanging="567"/>
        <w:rPr>
          <w:sz w:val="22"/>
          <w:szCs w:val="22"/>
        </w:rPr>
      </w:pPr>
      <w:r w:rsidRPr="00DF2C06">
        <w:rPr>
          <w:sz w:val="22"/>
          <w:szCs w:val="22"/>
        </w:rPr>
        <w:t>(iii)</w:t>
      </w:r>
      <w:r w:rsidRPr="00DF2C06">
        <w:rPr>
          <w:sz w:val="22"/>
          <w:szCs w:val="22"/>
        </w:rPr>
        <w:tab/>
        <w:t>in the workplace; or</w:t>
      </w:r>
    </w:p>
    <w:p w:rsidR="00DF2C06" w:rsidRPr="00DF2C06" w:rsidRDefault="00DF2C06" w:rsidP="00BE4AD3">
      <w:pPr>
        <w:spacing w:before="120"/>
        <w:ind w:left="1560" w:hanging="567"/>
        <w:rPr>
          <w:sz w:val="22"/>
          <w:szCs w:val="22"/>
        </w:rPr>
      </w:pPr>
      <w:r w:rsidRPr="00DF2C06">
        <w:rPr>
          <w:sz w:val="22"/>
          <w:szCs w:val="22"/>
        </w:rPr>
        <w:t>(iv)</w:t>
      </w:r>
      <w:r w:rsidRPr="00DF2C06">
        <w:rPr>
          <w:sz w:val="22"/>
          <w:szCs w:val="22"/>
        </w:rPr>
        <w:tab/>
        <w:t>by society at large.</w:t>
      </w:r>
      <w:r w:rsidR="006865C9">
        <w:rPr>
          <w:sz w:val="22"/>
          <w:szCs w:val="22"/>
        </w:rPr>
        <w:t xml:space="preserve"> [Section 4(1)]</w:t>
      </w:r>
    </w:p>
    <w:p w:rsidR="00DF2C06" w:rsidRPr="00DF2C06" w:rsidRDefault="00DF2C06" w:rsidP="00BE4AD3">
      <w:pPr>
        <w:rPr>
          <w:sz w:val="22"/>
          <w:szCs w:val="22"/>
        </w:rPr>
      </w:pPr>
    </w:p>
    <w:p w:rsidR="00CA2C7A" w:rsidRDefault="00DF2C06" w:rsidP="00374F42">
      <w:pPr>
        <w:numPr>
          <w:ilvl w:val="0"/>
          <w:numId w:val="41"/>
        </w:numPr>
        <w:ind w:left="567" w:hanging="567"/>
        <w:rPr>
          <w:sz w:val="22"/>
          <w:szCs w:val="22"/>
        </w:rPr>
      </w:pPr>
      <w:r w:rsidRPr="00982A31">
        <w:rPr>
          <w:sz w:val="22"/>
          <w:szCs w:val="22"/>
        </w:rPr>
        <w:t xml:space="preserve">The Act includes a wide variety of regulatory provisions intended to help achieve this objective. </w:t>
      </w:r>
      <w:r w:rsidR="00BE4AD3">
        <w:rPr>
          <w:sz w:val="22"/>
          <w:szCs w:val="22"/>
        </w:rPr>
        <w:t xml:space="preserve"> </w:t>
      </w:r>
      <w:r w:rsidRPr="00982A31">
        <w:rPr>
          <w:sz w:val="22"/>
          <w:szCs w:val="22"/>
        </w:rPr>
        <w:t>For example, the Secretary for Internal Affairs is instructed to refuse an application for a non-casi</w:t>
      </w:r>
      <w:r w:rsidR="00D54EC8">
        <w:rPr>
          <w:sz w:val="22"/>
          <w:szCs w:val="22"/>
        </w:rPr>
        <w:t>no gaming machine venue licence</w:t>
      </w:r>
      <w:r w:rsidRPr="00982A31">
        <w:rPr>
          <w:sz w:val="22"/>
          <w:szCs w:val="22"/>
        </w:rPr>
        <w:t xml:space="preserve"> unless satis</w:t>
      </w:r>
      <w:r w:rsidR="00D54EC8">
        <w:rPr>
          <w:sz w:val="22"/>
          <w:szCs w:val="22"/>
        </w:rPr>
        <w:t xml:space="preserve">fied that (among other things) </w:t>
      </w:r>
      <w:r w:rsidRPr="00982A31">
        <w:rPr>
          <w:sz w:val="22"/>
          <w:szCs w:val="22"/>
        </w:rPr>
        <w:t>the risk of</w:t>
      </w:r>
      <w:r w:rsidR="00D54EC8">
        <w:rPr>
          <w:sz w:val="22"/>
          <w:szCs w:val="22"/>
        </w:rPr>
        <w:t xml:space="preserve"> problem gambling at the venue is minimised. [section 67(1)(p)]</w:t>
      </w:r>
      <w:r w:rsidR="00374F42">
        <w:rPr>
          <w:sz w:val="22"/>
          <w:szCs w:val="22"/>
        </w:rPr>
        <w:t xml:space="preserve">.  </w:t>
      </w:r>
    </w:p>
    <w:p w:rsidR="00CA2C7A" w:rsidRDefault="00CA2C7A" w:rsidP="00CA2C7A">
      <w:pPr>
        <w:rPr>
          <w:sz w:val="22"/>
          <w:szCs w:val="22"/>
        </w:rPr>
      </w:pPr>
    </w:p>
    <w:p w:rsidR="005F4F1A" w:rsidRDefault="0092118E" w:rsidP="00374F42">
      <w:pPr>
        <w:numPr>
          <w:ilvl w:val="0"/>
          <w:numId w:val="41"/>
        </w:numPr>
        <w:ind w:left="567" w:hanging="567"/>
        <w:rPr>
          <w:sz w:val="22"/>
          <w:szCs w:val="22"/>
        </w:rPr>
      </w:pPr>
      <w:r>
        <w:rPr>
          <w:sz w:val="22"/>
          <w:szCs w:val="22"/>
        </w:rPr>
        <w:t>In addition to these regulatory provisions, p</w:t>
      </w:r>
      <w:r w:rsidR="00AC712E" w:rsidRPr="00374F42">
        <w:rPr>
          <w:sz w:val="22"/>
          <w:szCs w:val="22"/>
        </w:rPr>
        <w:t xml:space="preserve">art 4 of the Act, subpart 4, sets out </w:t>
      </w:r>
      <w:r w:rsidR="00E64DA5" w:rsidRPr="00374F42">
        <w:rPr>
          <w:sz w:val="22"/>
          <w:szCs w:val="22"/>
        </w:rPr>
        <w:t xml:space="preserve">the </w:t>
      </w:r>
      <w:r w:rsidR="00AC712E" w:rsidRPr="00374F42">
        <w:rPr>
          <w:sz w:val="22"/>
          <w:szCs w:val="22"/>
        </w:rPr>
        <w:t xml:space="preserve">provisions </w:t>
      </w:r>
      <w:r w:rsidR="00D85E43" w:rsidRPr="00374F42">
        <w:rPr>
          <w:sz w:val="22"/>
          <w:szCs w:val="22"/>
        </w:rPr>
        <w:t xml:space="preserve">that are </w:t>
      </w:r>
      <w:r w:rsidR="00F926B0" w:rsidRPr="00374F42">
        <w:rPr>
          <w:sz w:val="22"/>
          <w:szCs w:val="22"/>
        </w:rPr>
        <w:t>relevant to</w:t>
      </w:r>
      <w:r w:rsidR="00AC712E" w:rsidRPr="00374F42">
        <w:rPr>
          <w:sz w:val="22"/>
          <w:szCs w:val="22"/>
        </w:rPr>
        <w:t xml:space="preserve"> this Regulatory Impact Statement.</w:t>
      </w:r>
      <w:r w:rsidR="003844A8" w:rsidRPr="00374F42">
        <w:rPr>
          <w:sz w:val="22"/>
          <w:szCs w:val="22"/>
        </w:rPr>
        <w:t xml:space="preserve"> </w:t>
      </w:r>
      <w:r w:rsidR="00BE4AD3" w:rsidRPr="00374F42">
        <w:rPr>
          <w:sz w:val="22"/>
          <w:szCs w:val="22"/>
        </w:rPr>
        <w:t xml:space="preserve"> </w:t>
      </w:r>
    </w:p>
    <w:p w:rsidR="005F4F1A" w:rsidRDefault="005F4F1A" w:rsidP="005F4F1A">
      <w:pPr>
        <w:rPr>
          <w:sz w:val="22"/>
          <w:szCs w:val="22"/>
        </w:rPr>
      </w:pPr>
    </w:p>
    <w:p w:rsidR="005F4F1A" w:rsidRPr="00982A31" w:rsidRDefault="005F4F1A" w:rsidP="005F4F1A">
      <w:pPr>
        <w:numPr>
          <w:ilvl w:val="0"/>
          <w:numId w:val="41"/>
        </w:numPr>
        <w:ind w:left="567" w:hanging="567"/>
        <w:rPr>
          <w:sz w:val="22"/>
          <w:szCs w:val="22"/>
        </w:rPr>
      </w:pPr>
      <w:r>
        <w:rPr>
          <w:sz w:val="22"/>
          <w:szCs w:val="22"/>
        </w:rPr>
        <w:t xml:space="preserve">Section 317 in that subpart </w:t>
      </w:r>
      <w:r w:rsidRPr="00982A31">
        <w:rPr>
          <w:sz w:val="22"/>
          <w:szCs w:val="22"/>
        </w:rPr>
        <w:t xml:space="preserve">sets out the requirements for an </w:t>
      </w:r>
      <w:r>
        <w:rPr>
          <w:sz w:val="22"/>
          <w:szCs w:val="22"/>
        </w:rPr>
        <w:t>‘</w:t>
      </w:r>
      <w:r w:rsidRPr="00982A31">
        <w:rPr>
          <w:sz w:val="22"/>
          <w:szCs w:val="22"/>
        </w:rPr>
        <w:t>integrated problem gambling strategy focused on public health</w:t>
      </w:r>
      <w:r>
        <w:rPr>
          <w:sz w:val="22"/>
          <w:szCs w:val="22"/>
        </w:rPr>
        <w:t>’ (the strategy)</w:t>
      </w:r>
      <w:r w:rsidRPr="00982A31">
        <w:rPr>
          <w:sz w:val="22"/>
          <w:szCs w:val="22"/>
        </w:rPr>
        <w:t xml:space="preserve">. </w:t>
      </w:r>
      <w:r>
        <w:rPr>
          <w:sz w:val="22"/>
          <w:szCs w:val="22"/>
        </w:rPr>
        <w:t xml:space="preserve"> </w:t>
      </w:r>
      <w:r w:rsidR="00686A38">
        <w:rPr>
          <w:sz w:val="22"/>
          <w:szCs w:val="22"/>
        </w:rPr>
        <w:t>The Ministry</w:t>
      </w:r>
      <w:r w:rsidR="00686A38" w:rsidRPr="00982A31">
        <w:rPr>
          <w:sz w:val="22"/>
          <w:szCs w:val="22"/>
        </w:rPr>
        <w:t xml:space="preserve"> is responsible for </w:t>
      </w:r>
      <w:r w:rsidR="00686A38">
        <w:rPr>
          <w:sz w:val="22"/>
          <w:szCs w:val="22"/>
        </w:rPr>
        <w:t xml:space="preserve">developing and implementing this </w:t>
      </w:r>
      <w:r w:rsidR="00686A38" w:rsidRPr="00982A31">
        <w:rPr>
          <w:sz w:val="22"/>
          <w:szCs w:val="22"/>
        </w:rPr>
        <w:t>strategy</w:t>
      </w:r>
      <w:r w:rsidR="00686A38">
        <w:rPr>
          <w:sz w:val="22"/>
          <w:szCs w:val="22"/>
        </w:rPr>
        <w:t>, which it refers to as its Strategy to Prevent and Minimise Gambling Harm</w:t>
      </w:r>
      <w:r w:rsidR="00686A38" w:rsidRPr="00982A31">
        <w:rPr>
          <w:sz w:val="22"/>
          <w:szCs w:val="22"/>
        </w:rPr>
        <w:t xml:space="preserve">. </w:t>
      </w:r>
      <w:r w:rsidR="00686A38">
        <w:rPr>
          <w:sz w:val="22"/>
          <w:szCs w:val="22"/>
        </w:rPr>
        <w:t xml:space="preserve"> Section 317 </w:t>
      </w:r>
      <w:r w:rsidRPr="00982A31">
        <w:rPr>
          <w:sz w:val="22"/>
          <w:szCs w:val="22"/>
        </w:rPr>
        <w:t>states that the strategy must include:</w:t>
      </w:r>
    </w:p>
    <w:p w:rsidR="005F4F1A" w:rsidRPr="00982A31" w:rsidRDefault="005F4F1A" w:rsidP="005F4F1A">
      <w:pPr>
        <w:numPr>
          <w:ilvl w:val="0"/>
          <w:numId w:val="13"/>
        </w:numPr>
        <w:spacing w:before="120"/>
        <w:ind w:left="993" w:hanging="426"/>
        <w:rPr>
          <w:sz w:val="22"/>
          <w:szCs w:val="22"/>
        </w:rPr>
      </w:pPr>
      <w:r w:rsidRPr="00982A31">
        <w:rPr>
          <w:sz w:val="22"/>
          <w:szCs w:val="22"/>
        </w:rPr>
        <w:t>measures to promote public health by preventing and minimising harm from gambling</w:t>
      </w:r>
    </w:p>
    <w:p w:rsidR="005F4F1A" w:rsidRPr="00982A31" w:rsidRDefault="005F4F1A" w:rsidP="005F4F1A">
      <w:pPr>
        <w:numPr>
          <w:ilvl w:val="0"/>
          <w:numId w:val="13"/>
        </w:numPr>
        <w:spacing w:before="120"/>
        <w:ind w:left="993" w:hanging="426"/>
        <w:rPr>
          <w:sz w:val="22"/>
          <w:szCs w:val="22"/>
        </w:rPr>
      </w:pPr>
      <w:r w:rsidRPr="00982A31">
        <w:rPr>
          <w:sz w:val="22"/>
          <w:szCs w:val="22"/>
        </w:rPr>
        <w:t>services to treat and assist problem gamblers and their families and whānau</w:t>
      </w:r>
    </w:p>
    <w:p w:rsidR="005F4F1A" w:rsidRPr="00982A31" w:rsidRDefault="005F4F1A" w:rsidP="005F4F1A">
      <w:pPr>
        <w:numPr>
          <w:ilvl w:val="0"/>
          <w:numId w:val="13"/>
        </w:numPr>
        <w:spacing w:before="120"/>
        <w:ind w:left="993" w:hanging="426"/>
        <w:rPr>
          <w:sz w:val="22"/>
          <w:szCs w:val="22"/>
        </w:rPr>
      </w:pPr>
      <w:r w:rsidRPr="00982A31">
        <w:rPr>
          <w:sz w:val="22"/>
          <w:szCs w:val="22"/>
        </w:rPr>
        <w:t>independent scientific research associated with gambling, including (for example) longitudinal research on the social and economic impacts of gambling, particularly the impacts on different cultural groups</w:t>
      </w:r>
    </w:p>
    <w:p w:rsidR="005F4F1A" w:rsidRPr="00982A31" w:rsidRDefault="005F4F1A" w:rsidP="005F4F1A">
      <w:pPr>
        <w:numPr>
          <w:ilvl w:val="0"/>
          <w:numId w:val="13"/>
        </w:numPr>
        <w:spacing w:before="120"/>
        <w:ind w:left="993" w:hanging="426"/>
        <w:rPr>
          <w:sz w:val="22"/>
          <w:szCs w:val="22"/>
        </w:rPr>
      </w:pPr>
      <w:r w:rsidRPr="00982A31">
        <w:rPr>
          <w:sz w:val="22"/>
          <w:szCs w:val="22"/>
        </w:rPr>
        <w:t>evaluation.</w:t>
      </w:r>
    </w:p>
    <w:p w:rsidR="005F4F1A" w:rsidRPr="00982A31" w:rsidRDefault="005F4F1A" w:rsidP="005F4F1A">
      <w:pPr>
        <w:rPr>
          <w:sz w:val="22"/>
          <w:szCs w:val="22"/>
        </w:rPr>
      </w:pPr>
    </w:p>
    <w:p w:rsidR="005F4F1A" w:rsidRPr="00374F42" w:rsidRDefault="005F4F1A" w:rsidP="005F4F1A">
      <w:pPr>
        <w:numPr>
          <w:ilvl w:val="0"/>
          <w:numId w:val="41"/>
        </w:numPr>
        <w:ind w:left="567" w:hanging="567"/>
        <w:rPr>
          <w:sz w:val="22"/>
          <w:szCs w:val="22"/>
        </w:rPr>
      </w:pPr>
      <w:r>
        <w:rPr>
          <w:sz w:val="22"/>
          <w:szCs w:val="22"/>
        </w:rPr>
        <w:t xml:space="preserve">Section 318 details requirements for a multi-stage process to develop the </w:t>
      </w:r>
      <w:r w:rsidR="00686A38">
        <w:rPr>
          <w:sz w:val="22"/>
          <w:szCs w:val="22"/>
        </w:rPr>
        <w:t xml:space="preserve">strategy. Section 319 relates to a </w:t>
      </w:r>
      <w:r w:rsidR="00686A38" w:rsidRPr="00374F42">
        <w:rPr>
          <w:sz w:val="22"/>
          <w:szCs w:val="22"/>
        </w:rPr>
        <w:t>‘problem gambling l</w:t>
      </w:r>
      <w:r w:rsidR="00686A38">
        <w:rPr>
          <w:sz w:val="22"/>
          <w:szCs w:val="22"/>
        </w:rPr>
        <w:t xml:space="preserve">evy’ (the levy), that is </w:t>
      </w:r>
      <w:r w:rsidR="00686A38" w:rsidRPr="00374F42">
        <w:rPr>
          <w:sz w:val="22"/>
          <w:szCs w:val="22"/>
        </w:rPr>
        <w:t>set by regulation at a different rate for each of the main gamb</w:t>
      </w:r>
      <w:r w:rsidR="00686A38">
        <w:rPr>
          <w:sz w:val="22"/>
          <w:szCs w:val="22"/>
        </w:rPr>
        <w:t>ling sectors</w:t>
      </w:r>
      <w:r w:rsidR="00686A38" w:rsidRPr="00374F42">
        <w:rPr>
          <w:sz w:val="22"/>
          <w:szCs w:val="22"/>
        </w:rPr>
        <w:t>.  The Crown recover</w:t>
      </w:r>
      <w:r w:rsidR="00686A38">
        <w:rPr>
          <w:sz w:val="22"/>
          <w:szCs w:val="22"/>
        </w:rPr>
        <w:t>s</w:t>
      </w:r>
      <w:r w:rsidR="00686A38" w:rsidRPr="00374F42">
        <w:rPr>
          <w:sz w:val="22"/>
          <w:szCs w:val="22"/>
        </w:rPr>
        <w:t xml:space="preserve"> the cost of </w:t>
      </w:r>
      <w:r w:rsidR="00686A38">
        <w:rPr>
          <w:sz w:val="22"/>
          <w:szCs w:val="22"/>
        </w:rPr>
        <w:t>the strategy</w:t>
      </w:r>
      <w:r w:rsidR="00686A38" w:rsidRPr="00374F42">
        <w:rPr>
          <w:sz w:val="22"/>
          <w:szCs w:val="22"/>
        </w:rPr>
        <w:t xml:space="preserve"> by way of </w:t>
      </w:r>
      <w:r w:rsidR="00686A38">
        <w:rPr>
          <w:sz w:val="22"/>
          <w:szCs w:val="22"/>
        </w:rPr>
        <w:t>the levy</w:t>
      </w:r>
      <w:r w:rsidR="00686A38" w:rsidRPr="00374F42">
        <w:rPr>
          <w:sz w:val="22"/>
          <w:szCs w:val="22"/>
        </w:rPr>
        <w:t xml:space="preserve">, </w:t>
      </w:r>
      <w:r w:rsidR="00686A38">
        <w:rPr>
          <w:sz w:val="22"/>
          <w:szCs w:val="22"/>
        </w:rPr>
        <w:t xml:space="preserve">which </w:t>
      </w:r>
      <w:r w:rsidR="00686A38" w:rsidRPr="00374F42">
        <w:rPr>
          <w:sz w:val="22"/>
          <w:szCs w:val="22"/>
        </w:rPr>
        <w:t xml:space="preserve">means that the strategy is broadly fiscally neutral over time.  </w:t>
      </w:r>
      <w:r>
        <w:rPr>
          <w:sz w:val="22"/>
          <w:szCs w:val="22"/>
        </w:rPr>
        <w:t>There is a</w:t>
      </w:r>
      <w:r w:rsidRPr="00374F42">
        <w:rPr>
          <w:sz w:val="22"/>
          <w:szCs w:val="22"/>
        </w:rPr>
        <w:t xml:space="preserve"> formula </w:t>
      </w:r>
      <w:r>
        <w:rPr>
          <w:sz w:val="22"/>
          <w:szCs w:val="22"/>
        </w:rPr>
        <w:t xml:space="preserve">in </w:t>
      </w:r>
      <w:r w:rsidR="00686A38">
        <w:rPr>
          <w:sz w:val="22"/>
          <w:szCs w:val="22"/>
        </w:rPr>
        <w:t>section 320 that is used to calculate the levy rate to be paid by each group of gambling operators</w:t>
      </w:r>
      <w:r w:rsidRPr="00374F42">
        <w:rPr>
          <w:sz w:val="22"/>
          <w:szCs w:val="22"/>
        </w:rPr>
        <w:t>.</w:t>
      </w:r>
    </w:p>
    <w:p w:rsidR="005F4F1A" w:rsidRDefault="005F4F1A" w:rsidP="005F4F1A">
      <w:pPr>
        <w:rPr>
          <w:sz w:val="22"/>
          <w:szCs w:val="22"/>
        </w:rPr>
      </w:pPr>
    </w:p>
    <w:p w:rsidR="003844A8" w:rsidRPr="00374F42" w:rsidRDefault="00BE4AD3" w:rsidP="00374F42">
      <w:pPr>
        <w:numPr>
          <w:ilvl w:val="0"/>
          <w:numId w:val="41"/>
        </w:numPr>
        <w:ind w:left="567" w:hanging="567"/>
        <w:rPr>
          <w:sz w:val="22"/>
          <w:szCs w:val="22"/>
        </w:rPr>
      </w:pPr>
      <w:r w:rsidRPr="00374F42">
        <w:rPr>
          <w:sz w:val="22"/>
          <w:szCs w:val="22"/>
        </w:rPr>
        <w:t>These provisions shape</w:t>
      </w:r>
      <w:r w:rsidR="003844A8" w:rsidRPr="00374F42">
        <w:rPr>
          <w:sz w:val="22"/>
          <w:szCs w:val="22"/>
        </w:rPr>
        <w:t xml:space="preserve"> the number and scope of the options analysed, because </w:t>
      </w:r>
      <w:r w:rsidRPr="00374F42">
        <w:rPr>
          <w:sz w:val="22"/>
          <w:szCs w:val="22"/>
        </w:rPr>
        <w:t>they</w:t>
      </w:r>
      <w:r w:rsidR="003844A8" w:rsidRPr="00374F42">
        <w:rPr>
          <w:sz w:val="22"/>
          <w:szCs w:val="22"/>
        </w:rPr>
        <w:t>:</w:t>
      </w:r>
    </w:p>
    <w:p w:rsidR="003844A8" w:rsidRDefault="00BE4AD3" w:rsidP="00BE4AD3">
      <w:pPr>
        <w:numPr>
          <w:ilvl w:val="0"/>
          <w:numId w:val="13"/>
        </w:numPr>
        <w:spacing w:before="120"/>
        <w:ind w:left="992" w:hanging="425"/>
        <w:rPr>
          <w:sz w:val="22"/>
          <w:szCs w:val="22"/>
        </w:rPr>
      </w:pPr>
      <w:r>
        <w:rPr>
          <w:sz w:val="22"/>
          <w:szCs w:val="22"/>
        </w:rPr>
        <w:t>describe</w:t>
      </w:r>
      <w:r w:rsidR="003844A8">
        <w:rPr>
          <w:sz w:val="22"/>
          <w:szCs w:val="22"/>
        </w:rPr>
        <w:t xml:space="preserve"> the strategy as ‘focused on public health’ [section 317]</w:t>
      </w:r>
    </w:p>
    <w:p w:rsidR="003844A8" w:rsidRDefault="00BE4AD3" w:rsidP="00BE4AD3">
      <w:pPr>
        <w:numPr>
          <w:ilvl w:val="0"/>
          <w:numId w:val="13"/>
        </w:numPr>
        <w:spacing w:before="120"/>
        <w:ind w:left="992" w:hanging="425"/>
        <w:rPr>
          <w:sz w:val="22"/>
          <w:szCs w:val="22"/>
        </w:rPr>
      </w:pPr>
      <w:r>
        <w:rPr>
          <w:sz w:val="22"/>
          <w:szCs w:val="22"/>
        </w:rPr>
        <w:t>specify</w:t>
      </w:r>
      <w:r w:rsidR="003844A8">
        <w:rPr>
          <w:sz w:val="22"/>
          <w:szCs w:val="22"/>
        </w:rPr>
        <w:t xml:space="preserve"> four components that the strategy must include [section 317(2)(a) to (d)]</w:t>
      </w:r>
    </w:p>
    <w:p w:rsidR="003844A8" w:rsidRDefault="00BE4AD3" w:rsidP="00BE4AD3">
      <w:pPr>
        <w:numPr>
          <w:ilvl w:val="0"/>
          <w:numId w:val="13"/>
        </w:numPr>
        <w:spacing w:before="120"/>
        <w:ind w:left="992" w:hanging="425"/>
        <w:rPr>
          <w:sz w:val="22"/>
          <w:szCs w:val="22"/>
        </w:rPr>
      </w:pPr>
      <w:r>
        <w:rPr>
          <w:sz w:val="22"/>
          <w:szCs w:val="22"/>
        </w:rPr>
        <w:t>detail</w:t>
      </w:r>
      <w:r w:rsidR="003844A8">
        <w:rPr>
          <w:sz w:val="22"/>
          <w:szCs w:val="22"/>
        </w:rPr>
        <w:t xml:space="preserve"> requirements for the process to develop the strategy </w:t>
      </w:r>
      <w:r w:rsidR="005F4F1A">
        <w:rPr>
          <w:sz w:val="22"/>
          <w:szCs w:val="22"/>
        </w:rPr>
        <w:t xml:space="preserve">and levy rates </w:t>
      </w:r>
      <w:r w:rsidR="003844A8">
        <w:rPr>
          <w:sz w:val="22"/>
          <w:szCs w:val="22"/>
        </w:rPr>
        <w:t>[section</w:t>
      </w:r>
      <w:r w:rsidR="005F4F1A">
        <w:rPr>
          <w:sz w:val="22"/>
          <w:szCs w:val="22"/>
        </w:rPr>
        <w:t> </w:t>
      </w:r>
      <w:r w:rsidR="003844A8">
        <w:rPr>
          <w:sz w:val="22"/>
          <w:szCs w:val="22"/>
        </w:rPr>
        <w:t>318]</w:t>
      </w:r>
    </w:p>
    <w:p w:rsidR="005F4F1A" w:rsidRDefault="005F4F1A" w:rsidP="005F4F1A">
      <w:pPr>
        <w:numPr>
          <w:ilvl w:val="0"/>
          <w:numId w:val="13"/>
        </w:numPr>
        <w:spacing w:before="120"/>
        <w:ind w:left="992" w:hanging="425"/>
        <w:rPr>
          <w:sz w:val="22"/>
          <w:szCs w:val="22"/>
        </w:rPr>
      </w:pPr>
      <w:r>
        <w:rPr>
          <w:sz w:val="22"/>
          <w:szCs w:val="22"/>
        </w:rPr>
        <w:t>state that the purpose of the levy is to recover the cost of ‘developing, managing and delivering’ the strategy [section 319(2)]</w:t>
      </w:r>
    </w:p>
    <w:p w:rsidR="003844A8" w:rsidRDefault="00BE4AD3" w:rsidP="00BE4AD3">
      <w:pPr>
        <w:numPr>
          <w:ilvl w:val="0"/>
          <w:numId w:val="13"/>
        </w:numPr>
        <w:spacing w:before="120"/>
        <w:ind w:left="992" w:hanging="425"/>
        <w:rPr>
          <w:sz w:val="22"/>
          <w:szCs w:val="22"/>
        </w:rPr>
      </w:pPr>
      <w:r>
        <w:rPr>
          <w:sz w:val="22"/>
          <w:szCs w:val="22"/>
        </w:rPr>
        <w:t>include</w:t>
      </w:r>
      <w:r w:rsidR="003844A8">
        <w:rPr>
          <w:sz w:val="22"/>
          <w:szCs w:val="22"/>
        </w:rPr>
        <w:t xml:space="preserve"> a formula ‘to be used in estimating the proposed levy rates payable by gambling operators’ [section 320(2)].</w:t>
      </w:r>
    </w:p>
    <w:p w:rsidR="005F4F1A" w:rsidRDefault="005F4F1A" w:rsidP="005F4F1A">
      <w:pPr>
        <w:rPr>
          <w:sz w:val="22"/>
          <w:szCs w:val="22"/>
        </w:rPr>
      </w:pPr>
    </w:p>
    <w:p w:rsidR="00601853" w:rsidRPr="00BE4AD3" w:rsidRDefault="00601853" w:rsidP="00BE4AD3">
      <w:pPr>
        <w:numPr>
          <w:ilvl w:val="0"/>
          <w:numId w:val="41"/>
        </w:numPr>
        <w:ind w:left="567" w:hanging="567"/>
        <w:rPr>
          <w:sz w:val="22"/>
          <w:szCs w:val="22"/>
        </w:rPr>
      </w:pPr>
      <w:r w:rsidRPr="00BE4AD3">
        <w:rPr>
          <w:sz w:val="22"/>
          <w:szCs w:val="22"/>
        </w:rPr>
        <w:t xml:space="preserve">Because the Act emphasises harm prevention and minimisation, help-seeking and expenditure data assist in determining levy liabilities. </w:t>
      </w:r>
      <w:r w:rsidR="00DF2C6D">
        <w:rPr>
          <w:sz w:val="22"/>
          <w:szCs w:val="22"/>
        </w:rPr>
        <w:t xml:space="preserve"> </w:t>
      </w:r>
      <w:r w:rsidRPr="00BE4AD3">
        <w:rPr>
          <w:sz w:val="22"/>
          <w:szCs w:val="22"/>
        </w:rPr>
        <w:t xml:space="preserve">This means that a sector’s liability can change even if the amount of the levy does not. </w:t>
      </w:r>
      <w:r w:rsidR="00DF2C6D">
        <w:rPr>
          <w:sz w:val="22"/>
          <w:szCs w:val="22"/>
        </w:rPr>
        <w:t xml:space="preserve"> </w:t>
      </w:r>
      <w:r w:rsidRPr="00BE4AD3">
        <w:rPr>
          <w:sz w:val="22"/>
          <w:szCs w:val="22"/>
        </w:rPr>
        <w:t>Such changes in levy liability are typically relatively minor in the context of changes in sector profit.</w:t>
      </w:r>
    </w:p>
    <w:p w:rsidR="00982A31" w:rsidRDefault="00982A31" w:rsidP="00E512D1">
      <w:pPr>
        <w:rPr>
          <w:sz w:val="22"/>
          <w:szCs w:val="22"/>
        </w:rPr>
      </w:pPr>
    </w:p>
    <w:bookmarkEnd w:id="16"/>
    <w:p w:rsidR="009F2D15" w:rsidRPr="00B77D78" w:rsidRDefault="003F5586" w:rsidP="00E105D1">
      <w:pPr>
        <w:pStyle w:val="Heading3"/>
      </w:pPr>
      <w:r>
        <w:lastRenderedPageBreak/>
        <w:t xml:space="preserve">The </w:t>
      </w:r>
      <w:r w:rsidR="009F2D15" w:rsidRPr="00B77D78">
        <w:t>current strategy</w:t>
      </w:r>
    </w:p>
    <w:p w:rsidR="00CA2C7A" w:rsidRDefault="00884502" w:rsidP="00276597">
      <w:pPr>
        <w:keepLines/>
        <w:numPr>
          <w:ilvl w:val="0"/>
          <w:numId w:val="41"/>
        </w:numPr>
        <w:ind w:left="567" w:hanging="567"/>
        <w:rPr>
          <w:sz w:val="22"/>
          <w:szCs w:val="22"/>
        </w:rPr>
      </w:pPr>
      <w:r>
        <w:rPr>
          <w:sz w:val="22"/>
          <w:szCs w:val="22"/>
        </w:rPr>
        <w:t>I</w:t>
      </w:r>
      <w:r w:rsidR="00B66146">
        <w:rPr>
          <w:sz w:val="22"/>
          <w:szCs w:val="22"/>
        </w:rPr>
        <w:t>n April 2010, Cabinet approved t</w:t>
      </w:r>
      <w:r w:rsidR="009F2D15" w:rsidRPr="00B66146">
        <w:rPr>
          <w:sz w:val="22"/>
          <w:szCs w:val="22"/>
        </w:rPr>
        <w:t>he Ministry</w:t>
      </w:r>
      <w:r w:rsidR="000D42F2" w:rsidRPr="00B66146">
        <w:rPr>
          <w:sz w:val="22"/>
          <w:szCs w:val="22"/>
        </w:rPr>
        <w:t>’</w:t>
      </w:r>
      <w:r w:rsidR="009F2D15" w:rsidRPr="00B66146">
        <w:rPr>
          <w:sz w:val="22"/>
          <w:szCs w:val="22"/>
        </w:rPr>
        <w:t xml:space="preserve">s </w:t>
      </w:r>
      <w:r w:rsidR="00B66146">
        <w:rPr>
          <w:sz w:val="22"/>
          <w:szCs w:val="22"/>
        </w:rPr>
        <w:t xml:space="preserve">six-year strategic plan to </w:t>
      </w:r>
      <w:r w:rsidR="003F3D08">
        <w:rPr>
          <w:sz w:val="22"/>
          <w:szCs w:val="22"/>
        </w:rPr>
        <w:t>30 June</w:t>
      </w:r>
      <w:r w:rsidR="00B66146">
        <w:rPr>
          <w:sz w:val="22"/>
          <w:szCs w:val="22"/>
        </w:rPr>
        <w:t xml:space="preserve"> 2016 </w:t>
      </w:r>
      <w:r w:rsidR="00F35C10">
        <w:rPr>
          <w:sz w:val="22"/>
          <w:szCs w:val="22"/>
        </w:rPr>
        <w:t>(Ministry of Health 2010</w:t>
      </w:r>
      <w:r w:rsidR="004A2F24">
        <w:rPr>
          <w:sz w:val="22"/>
          <w:szCs w:val="22"/>
        </w:rPr>
        <w:t>)</w:t>
      </w:r>
      <w:r>
        <w:rPr>
          <w:sz w:val="22"/>
          <w:szCs w:val="22"/>
        </w:rPr>
        <w:t>.  I</w:t>
      </w:r>
      <w:r w:rsidR="00F35C10" w:rsidRPr="00884502">
        <w:rPr>
          <w:sz w:val="22"/>
          <w:szCs w:val="22"/>
        </w:rPr>
        <w:t xml:space="preserve">n </w:t>
      </w:r>
      <w:r>
        <w:rPr>
          <w:sz w:val="22"/>
          <w:szCs w:val="22"/>
        </w:rPr>
        <w:t xml:space="preserve">April </w:t>
      </w:r>
      <w:r w:rsidR="00F35C10" w:rsidRPr="00884502">
        <w:rPr>
          <w:sz w:val="22"/>
          <w:szCs w:val="22"/>
        </w:rPr>
        <w:t>2013</w:t>
      </w:r>
      <w:r>
        <w:rPr>
          <w:sz w:val="22"/>
          <w:szCs w:val="22"/>
        </w:rPr>
        <w:t>, it</w:t>
      </w:r>
      <w:r w:rsidR="00F35C10" w:rsidRPr="00884502">
        <w:rPr>
          <w:sz w:val="22"/>
          <w:szCs w:val="22"/>
        </w:rPr>
        <w:t xml:space="preserve"> approved </w:t>
      </w:r>
      <w:r w:rsidR="00B66146" w:rsidRPr="00884502">
        <w:rPr>
          <w:sz w:val="22"/>
          <w:szCs w:val="22"/>
        </w:rPr>
        <w:t xml:space="preserve">a three-year </w:t>
      </w:r>
      <w:r w:rsidR="000A5948" w:rsidRPr="00884502">
        <w:rPr>
          <w:sz w:val="22"/>
          <w:szCs w:val="22"/>
        </w:rPr>
        <w:t xml:space="preserve">service plan </w:t>
      </w:r>
      <w:r w:rsidR="00F35C10" w:rsidRPr="00884502">
        <w:rPr>
          <w:sz w:val="22"/>
          <w:szCs w:val="22"/>
        </w:rPr>
        <w:t xml:space="preserve">for the period from 1 July 2013 </w:t>
      </w:r>
      <w:r w:rsidR="000A5948" w:rsidRPr="00884502">
        <w:rPr>
          <w:sz w:val="22"/>
          <w:szCs w:val="22"/>
        </w:rPr>
        <w:t xml:space="preserve">to </w:t>
      </w:r>
      <w:r w:rsidR="003F3D08" w:rsidRPr="00884502">
        <w:rPr>
          <w:sz w:val="22"/>
          <w:szCs w:val="22"/>
        </w:rPr>
        <w:t>30 June</w:t>
      </w:r>
      <w:r w:rsidR="00F35C10" w:rsidRPr="00884502">
        <w:rPr>
          <w:sz w:val="22"/>
          <w:szCs w:val="22"/>
        </w:rPr>
        <w:t xml:space="preserve"> 2016 (Ministry of Health 2013</w:t>
      </w:r>
      <w:r w:rsidR="004A2F24" w:rsidRPr="00884502">
        <w:rPr>
          <w:sz w:val="22"/>
          <w:szCs w:val="22"/>
        </w:rPr>
        <w:t>)</w:t>
      </w:r>
      <w:r w:rsidR="00B66146" w:rsidRPr="00884502">
        <w:rPr>
          <w:sz w:val="22"/>
          <w:szCs w:val="22"/>
        </w:rPr>
        <w:t xml:space="preserve">. </w:t>
      </w:r>
      <w:r>
        <w:rPr>
          <w:sz w:val="22"/>
          <w:szCs w:val="22"/>
        </w:rPr>
        <w:t xml:space="preserve"> These documents</w:t>
      </w:r>
      <w:r w:rsidR="005D3A45" w:rsidRPr="00884502">
        <w:rPr>
          <w:sz w:val="22"/>
          <w:szCs w:val="22"/>
        </w:rPr>
        <w:t xml:space="preserve"> </w:t>
      </w:r>
      <w:r w:rsidR="000A5948" w:rsidRPr="00884502">
        <w:rPr>
          <w:sz w:val="22"/>
          <w:szCs w:val="22"/>
        </w:rPr>
        <w:t xml:space="preserve">were developed following a consultation process that met the requirements in the Act. </w:t>
      </w:r>
      <w:r w:rsidR="00374F42">
        <w:rPr>
          <w:sz w:val="22"/>
          <w:szCs w:val="22"/>
        </w:rPr>
        <w:t xml:space="preserve"> </w:t>
      </w:r>
    </w:p>
    <w:p w:rsidR="00CA2C7A" w:rsidRDefault="00CA2C7A" w:rsidP="00CA2C7A">
      <w:pPr>
        <w:rPr>
          <w:sz w:val="22"/>
          <w:szCs w:val="22"/>
        </w:rPr>
      </w:pPr>
    </w:p>
    <w:p w:rsidR="00B66146" w:rsidRPr="00374F42" w:rsidRDefault="00884502" w:rsidP="00374F42">
      <w:pPr>
        <w:numPr>
          <w:ilvl w:val="0"/>
          <w:numId w:val="41"/>
        </w:numPr>
        <w:ind w:left="567" w:hanging="567"/>
        <w:rPr>
          <w:sz w:val="22"/>
          <w:szCs w:val="22"/>
        </w:rPr>
      </w:pPr>
      <w:r w:rsidRPr="00374F42">
        <w:rPr>
          <w:sz w:val="22"/>
          <w:szCs w:val="22"/>
        </w:rPr>
        <w:t>On 1 July 2013</w:t>
      </w:r>
      <w:r w:rsidR="000A5948" w:rsidRPr="00374F42">
        <w:rPr>
          <w:sz w:val="22"/>
          <w:szCs w:val="22"/>
        </w:rPr>
        <w:t xml:space="preserve">, </w:t>
      </w:r>
      <w:r w:rsidR="00B66146" w:rsidRPr="00374F42">
        <w:rPr>
          <w:sz w:val="22"/>
          <w:szCs w:val="22"/>
        </w:rPr>
        <w:t>the Gambling (Problem</w:t>
      </w:r>
      <w:r w:rsidRPr="00374F42">
        <w:rPr>
          <w:sz w:val="22"/>
          <w:szCs w:val="22"/>
        </w:rPr>
        <w:t xml:space="preserve"> Gambling Levy) Regulations 2013</w:t>
      </w:r>
      <w:r w:rsidR="000A5948" w:rsidRPr="00374F42">
        <w:rPr>
          <w:sz w:val="22"/>
          <w:szCs w:val="22"/>
        </w:rPr>
        <w:t xml:space="preserve"> c</w:t>
      </w:r>
      <w:r w:rsidR="00457AE1" w:rsidRPr="00374F42">
        <w:rPr>
          <w:sz w:val="22"/>
          <w:szCs w:val="22"/>
        </w:rPr>
        <w:t xml:space="preserve">ame into effect. </w:t>
      </w:r>
      <w:r w:rsidR="00E512D1" w:rsidRPr="00374F42">
        <w:rPr>
          <w:sz w:val="22"/>
          <w:szCs w:val="22"/>
        </w:rPr>
        <w:t xml:space="preserve"> </w:t>
      </w:r>
      <w:r w:rsidR="00457AE1" w:rsidRPr="00374F42">
        <w:rPr>
          <w:sz w:val="22"/>
          <w:szCs w:val="22"/>
        </w:rPr>
        <w:t>They were</w:t>
      </w:r>
      <w:r w:rsidR="00B66146" w:rsidRPr="00374F42">
        <w:rPr>
          <w:sz w:val="22"/>
          <w:szCs w:val="22"/>
        </w:rPr>
        <w:t xml:space="preserve"> intended to recover from gambling operators the funding appropriated to the Ministry </w:t>
      </w:r>
      <w:r w:rsidR="00374F42">
        <w:rPr>
          <w:sz w:val="22"/>
          <w:szCs w:val="22"/>
        </w:rPr>
        <w:t>for the period</w:t>
      </w:r>
      <w:r w:rsidRPr="00374F42">
        <w:rPr>
          <w:sz w:val="22"/>
          <w:szCs w:val="22"/>
        </w:rPr>
        <w:t xml:space="preserve"> to 30 June 2016</w:t>
      </w:r>
      <w:r w:rsidR="00B83561" w:rsidRPr="00374F42">
        <w:rPr>
          <w:sz w:val="22"/>
          <w:szCs w:val="22"/>
        </w:rPr>
        <w:t xml:space="preserve">, minus a </w:t>
      </w:r>
      <w:r w:rsidR="00C20543" w:rsidRPr="00374F42">
        <w:rPr>
          <w:sz w:val="22"/>
          <w:szCs w:val="22"/>
        </w:rPr>
        <w:t xml:space="preserve">forecast </w:t>
      </w:r>
      <w:r w:rsidR="00B83561" w:rsidRPr="00374F42">
        <w:rPr>
          <w:sz w:val="22"/>
          <w:szCs w:val="22"/>
        </w:rPr>
        <w:t>small net over-collection in the previous levy period</w:t>
      </w:r>
      <w:r w:rsidR="00457AE1" w:rsidRPr="00374F42">
        <w:rPr>
          <w:sz w:val="22"/>
          <w:szCs w:val="22"/>
        </w:rPr>
        <w:t>.</w:t>
      </w:r>
      <w:r w:rsidR="00B66146" w:rsidRPr="00374F42">
        <w:rPr>
          <w:sz w:val="22"/>
          <w:szCs w:val="22"/>
        </w:rPr>
        <w:t xml:space="preserve"> </w:t>
      </w:r>
    </w:p>
    <w:p w:rsidR="005D3A45" w:rsidRDefault="005D3A45" w:rsidP="00E512D1">
      <w:pPr>
        <w:rPr>
          <w:sz w:val="22"/>
          <w:szCs w:val="22"/>
        </w:rPr>
      </w:pPr>
    </w:p>
    <w:p w:rsidR="009F2D15" w:rsidRDefault="009F2D15" w:rsidP="00E512D1">
      <w:pPr>
        <w:numPr>
          <w:ilvl w:val="0"/>
          <w:numId w:val="41"/>
        </w:numPr>
        <w:ind w:left="567" w:hanging="567"/>
        <w:rPr>
          <w:sz w:val="22"/>
          <w:szCs w:val="22"/>
        </w:rPr>
      </w:pPr>
      <w:r w:rsidRPr="00B66146">
        <w:rPr>
          <w:sz w:val="22"/>
          <w:szCs w:val="22"/>
        </w:rPr>
        <w:t>Table </w:t>
      </w:r>
      <w:r w:rsidR="00363780">
        <w:rPr>
          <w:sz w:val="22"/>
          <w:szCs w:val="22"/>
        </w:rPr>
        <w:t>1</w:t>
      </w:r>
      <w:r w:rsidRPr="00B66146">
        <w:rPr>
          <w:sz w:val="22"/>
          <w:szCs w:val="22"/>
        </w:rPr>
        <w:t xml:space="preserve"> shows the funding </w:t>
      </w:r>
      <w:r w:rsidR="00B66146">
        <w:rPr>
          <w:sz w:val="22"/>
          <w:szCs w:val="22"/>
        </w:rPr>
        <w:t>appropriated to the Ministry</w:t>
      </w:r>
      <w:r w:rsidRPr="00B66146">
        <w:rPr>
          <w:sz w:val="22"/>
          <w:szCs w:val="22"/>
        </w:rPr>
        <w:t xml:space="preserve"> for </w:t>
      </w:r>
      <w:r w:rsidR="00E512D1">
        <w:rPr>
          <w:sz w:val="22"/>
          <w:szCs w:val="22"/>
        </w:rPr>
        <w:t>2013/14 to 2015/16</w:t>
      </w:r>
      <w:r w:rsidR="004039A9">
        <w:rPr>
          <w:sz w:val="22"/>
          <w:szCs w:val="22"/>
        </w:rPr>
        <w:t>, broken down by the forecast spending on each service line</w:t>
      </w:r>
      <w:r w:rsidR="00B66146">
        <w:rPr>
          <w:sz w:val="22"/>
          <w:szCs w:val="22"/>
        </w:rPr>
        <w:t>.</w:t>
      </w:r>
    </w:p>
    <w:p w:rsidR="009B3C58" w:rsidRDefault="009B3C58" w:rsidP="00E512D1">
      <w:pPr>
        <w:rPr>
          <w:sz w:val="22"/>
          <w:szCs w:val="22"/>
        </w:rPr>
      </w:pPr>
    </w:p>
    <w:p w:rsidR="003F5586" w:rsidRPr="003F5586" w:rsidRDefault="003F5586" w:rsidP="00A3042F">
      <w:pPr>
        <w:pStyle w:val="Table"/>
        <w:ind w:left="567" w:firstLine="0"/>
        <w:rPr>
          <w:sz w:val="20"/>
        </w:rPr>
      </w:pPr>
      <w:bookmarkStart w:id="18" w:name="_Toc329955517"/>
      <w:bookmarkStart w:id="19" w:name="_Toc329860074"/>
      <w:bookmarkStart w:id="20" w:name="_Toc230066539"/>
      <w:bookmarkStart w:id="21" w:name="_Toc229197713"/>
      <w:bookmarkStart w:id="22" w:name="_Toc229197706"/>
      <w:bookmarkStart w:id="23" w:name="_Toc156877698"/>
      <w:bookmarkStart w:id="24" w:name="_Toc130094858"/>
      <w:bookmarkStart w:id="25" w:name="_Toc443057201"/>
      <w:r w:rsidRPr="003F5586">
        <w:rPr>
          <w:sz w:val="20"/>
        </w:rPr>
        <w:t xml:space="preserve">Table </w:t>
      </w:r>
      <w:r w:rsidR="00363780">
        <w:rPr>
          <w:sz w:val="20"/>
        </w:rPr>
        <w:t>1</w:t>
      </w:r>
      <w:r w:rsidRPr="003F5586">
        <w:rPr>
          <w:sz w:val="20"/>
        </w:rPr>
        <w:t xml:space="preserve">: </w:t>
      </w:r>
      <w:r w:rsidR="0001378D">
        <w:rPr>
          <w:sz w:val="20"/>
        </w:rPr>
        <w:t>Ministry of Health Budget</w:t>
      </w:r>
      <w:r w:rsidR="00E512D1">
        <w:rPr>
          <w:sz w:val="20"/>
        </w:rPr>
        <w:t xml:space="preserve"> (GST exclusive), 2013/14 to 2015</w:t>
      </w:r>
      <w:r w:rsidRPr="003F5586">
        <w:rPr>
          <w:sz w:val="20"/>
        </w:rPr>
        <w:t>/1</w:t>
      </w:r>
      <w:bookmarkEnd w:id="18"/>
      <w:bookmarkEnd w:id="19"/>
      <w:bookmarkEnd w:id="20"/>
      <w:bookmarkEnd w:id="21"/>
      <w:bookmarkEnd w:id="22"/>
      <w:bookmarkEnd w:id="23"/>
      <w:bookmarkEnd w:id="24"/>
      <w:r w:rsidR="00E512D1">
        <w:rPr>
          <w:sz w:val="20"/>
        </w:rPr>
        <w:t>6</w:t>
      </w:r>
      <w:bookmarkEnd w:id="25"/>
    </w:p>
    <w:tbl>
      <w:tblPr>
        <w:tblW w:w="8562" w:type="dxa"/>
        <w:tblInd w:w="624" w:type="dxa"/>
        <w:tblBorders>
          <w:top w:val="single" w:sz="12" w:space="0" w:color="auto"/>
          <w:bottom w:val="single" w:sz="12"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438"/>
        <w:gridCol w:w="1531"/>
        <w:gridCol w:w="1531"/>
        <w:gridCol w:w="1531"/>
        <w:gridCol w:w="1531"/>
      </w:tblGrid>
      <w:tr w:rsidR="00B66146" w:rsidRPr="003F5586" w:rsidTr="00A3042F">
        <w:trPr>
          <w:cantSplit/>
        </w:trPr>
        <w:tc>
          <w:tcPr>
            <w:tcW w:w="2438" w:type="dxa"/>
            <w:tcBorders>
              <w:top w:val="single" w:sz="12" w:space="0" w:color="auto"/>
              <w:left w:val="nil"/>
              <w:bottom w:val="single" w:sz="4" w:space="0" w:color="auto"/>
              <w:right w:val="single" w:sz="4" w:space="0" w:color="auto"/>
            </w:tcBorders>
            <w:shd w:val="clear" w:color="auto" w:fill="D9D9D9"/>
            <w:noWrap/>
            <w:hideMark/>
          </w:tcPr>
          <w:p w:rsidR="00B66146" w:rsidRPr="003F5586" w:rsidRDefault="00B66146">
            <w:pPr>
              <w:pStyle w:val="TableText"/>
              <w:rPr>
                <w:rFonts w:eastAsia="Arial Unicode MS"/>
                <w:b/>
              </w:rPr>
            </w:pPr>
            <w:r w:rsidRPr="003F5586">
              <w:rPr>
                <w:rFonts w:eastAsia="Arial Unicode MS"/>
                <w:b/>
              </w:rPr>
              <w:t>Services</w:t>
            </w:r>
          </w:p>
        </w:tc>
        <w:tc>
          <w:tcPr>
            <w:tcW w:w="1531" w:type="dxa"/>
            <w:tcBorders>
              <w:top w:val="single" w:sz="12" w:space="0" w:color="auto"/>
              <w:left w:val="single" w:sz="4" w:space="0" w:color="auto"/>
              <w:bottom w:val="single" w:sz="4" w:space="0" w:color="auto"/>
              <w:right w:val="single" w:sz="4" w:space="0" w:color="auto"/>
            </w:tcBorders>
            <w:shd w:val="clear" w:color="auto" w:fill="D9D9D9"/>
            <w:noWrap/>
            <w:hideMark/>
          </w:tcPr>
          <w:p w:rsidR="00B66146" w:rsidRPr="003F5586" w:rsidRDefault="00C20543">
            <w:pPr>
              <w:pStyle w:val="TableText"/>
              <w:jc w:val="center"/>
              <w:rPr>
                <w:rFonts w:eastAsia="Arial Unicode MS"/>
                <w:b/>
              </w:rPr>
            </w:pPr>
            <w:r>
              <w:rPr>
                <w:b/>
              </w:rPr>
              <w:t>2013/14</w:t>
            </w:r>
            <w:r w:rsidR="00B66146" w:rsidRPr="003F5586">
              <w:rPr>
                <w:b/>
              </w:rPr>
              <w:t xml:space="preserve"> </w:t>
            </w:r>
            <w:r w:rsidR="00B66146" w:rsidRPr="003F5586">
              <w:rPr>
                <w:b/>
                <w:snapToGrid w:val="0"/>
              </w:rPr>
              <w:t>($</w:t>
            </w:r>
            <w:r w:rsidR="00EF5292">
              <w:rPr>
                <w:b/>
                <w:snapToGrid w:val="0"/>
              </w:rPr>
              <w:t>m</w:t>
            </w:r>
            <w:r w:rsidR="00B66146" w:rsidRPr="003F5586">
              <w:rPr>
                <w:b/>
                <w:snapToGrid w:val="0"/>
              </w:rPr>
              <w:t>)</w:t>
            </w:r>
          </w:p>
        </w:tc>
        <w:tc>
          <w:tcPr>
            <w:tcW w:w="1531" w:type="dxa"/>
            <w:tcBorders>
              <w:top w:val="single" w:sz="12" w:space="0" w:color="auto"/>
              <w:left w:val="single" w:sz="4" w:space="0" w:color="auto"/>
              <w:bottom w:val="single" w:sz="4" w:space="0" w:color="auto"/>
              <w:right w:val="single" w:sz="4" w:space="0" w:color="auto"/>
            </w:tcBorders>
            <w:shd w:val="clear" w:color="auto" w:fill="D9D9D9"/>
            <w:noWrap/>
            <w:hideMark/>
          </w:tcPr>
          <w:p w:rsidR="00B66146" w:rsidRPr="003F5586" w:rsidRDefault="00C20543">
            <w:pPr>
              <w:pStyle w:val="TableText"/>
              <w:jc w:val="center"/>
              <w:rPr>
                <w:rFonts w:eastAsia="Arial Unicode MS"/>
                <w:b/>
              </w:rPr>
            </w:pPr>
            <w:r>
              <w:rPr>
                <w:b/>
              </w:rPr>
              <w:t>2014/15</w:t>
            </w:r>
            <w:r w:rsidR="00B66146" w:rsidRPr="003F5586">
              <w:rPr>
                <w:b/>
              </w:rPr>
              <w:t xml:space="preserve"> </w:t>
            </w:r>
            <w:r w:rsidR="00B66146" w:rsidRPr="003F5586">
              <w:rPr>
                <w:b/>
                <w:snapToGrid w:val="0"/>
              </w:rPr>
              <w:t>($</w:t>
            </w:r>
            <w:r w:rsidR="00EF5292">
              <w:rPr>
                <w:b/>
                <w:snapToGrid w:val="0"/>
              </w:rPr>
              <w:t>m</w:t>
            </w:r>
            <w:r w:rsidR="00B66146" w:rsidRPr="003F5586">
              <w:rPr>
                <w:b/>
                <w:snapToGrid w:val="0"/>
              </w:rPr>
              <w:t>)</w:t>
            </w:r>
          </w:p>
        </w:tc>
        <w:tc>
          <w:tcPr>
            <w:tcW w:w="1531" w:type="dxa"/>
            <w:tcBorders>
              <w:top w:val="single" w:sz="12" w:space="0" w:color="auto"/>
              <w:left w:val="single" w:sz="4" w:space="0" w:color="auto"/>
              <w:bottom w:val="single" w:sz="4" w:space="0" w:color="auto"/>
              <w:right w:val="nil"/>
            </w:tcBorders>
            <w:shd w:val="clear" w:color="auto" w:fill="D9D9D9"/>
            <w:noWrap/>
            <w:hideMark/>
          </w:tcPr>
          <w:p w:rsidR="00B66146" w:rsidRPr="003F5586" w:rsidRDefault="00C20543">
            <w:pPr>
              <w:pStyle w:val="TableText"/>
              <w:jc w:val="center"/>
              <w:rPr>
                <w:rFonts w:eastAsia="Arial Unicode MS"/>
                <w:b/>
              </w:rPr>
            </w:pPr>
            <w:r>
              <w:rPr>
                <w:b/>
              </w:rPr>
              <w:t>2015/16</w:t>
            </w:r>
            <w:r w:rsidR="00B66146" w:rsidRPr="003F5586">
              <w:rPr>
                <w:b/>
              </w:rPr>
              <w:t xml:space="preserve"> </w:t>
            </w:r>
            <w:r w:rsidR="00B66146" w:rsidRPr="003F5586">
              <w:rPr>
                <w:b/>
                <w:snapToGrid w:val="0"/>
              </w:rPr>
              <w:t>($</w:t>
            </w:r>
            <w:r w:rsidR="00EF5292">
              <w:rPr>
                <w:b/>
                <w:snapToGrid w:val="0"/>
              </w:rPr>
              <w:t>m</w:t>
            </w:r>
            <w:r w:rsidR="00B66146" w:rsidRPr="003F5586">
              <w:rPr>
                <w:b/>
                <w:snapToGrid w:val="0"/>
              </w:rPr>
              <w:t>)</w:t>
            </w:r>
          </w:p>
        </w:tc>
        <w:tc>
          <w:tcPr>
            <w:tcW w:w="1531" w:type="dxa"/>
            <w:tcBorders>
              <w:top w:val="single" w:sz="12" w:space="0" w:color="auto"/>
              <w:left w:val="single" w:sz="4" w:space="0" w:color="auto"/>
              <w:bottom w:val="single" w:sz="4" w:space="0" w:color="auto"/>
              <w:right w:val="nil"/>
            </w:tcBorders>
            <w:shd w:val="clear" w:color="auto" w:fill="D9D9D9"/>
          </w:tcPr>
          <w:p w:rsidR="00B66146" w:rsidRPr="003F5586" w:rsidRDefault="00B66146">
            <w:pPr>
              <w:pStyle w:val="TableText"/>
              <w:jc w:val="center"/>
              <w:rPr>
                <w:b/>
              </w:rPr>
            </w:pPr>
            <w:r>
              <w:rPr>
                <w:b/>
              </w:rPr>
              <w:t>Total</w:t>
            </w:r>
            <w:r w:rsidR="006A775F">
              <w:rPr>
                <w:b/>
              </w:rPr>
              <w:t xml:space="preserve"> ($</w:t>
            </w:r>
            <w:r w:rsidR="00EF5292">
              <w:rPr>
                <w:b/>
              </w:rPr>
              <w:t>m</w:t>
            </w:r>
            <w:r w:rsidR="006A775F">
              <w:rPr>
                <w:b/>
              </w:rPr>
              <w:t>)</w:t>
            </w:r>
          </w:p>
        </w:tc>
      </w:tr>
      <w:tr w:rsidR="00B66146" w:rsidRPr="003F5586" w:rsidTr="00A3042F">
        <w:trPr>
          <w:cantSplit/>
        </w:trPr>
        <w:tc>
          <w:tcPr>
            <w:tcW w:w="2438" w:type="dxa"/>
            <w:tcBorders>
              <w:top w:val="single" w:sz="4" w:space="0" w:color="auto"/>
              <w:left w:val="nil"/>
              <w:bottom w:val="single" w:sz="4" w:space="0" w:color="999999"/>
              <w:right w:val="single" w:sz="4" w:space="0" w:color="auto"/>
            </w:tcBorders>
            <w:noWrap/>
            <w:hideMark/>
          </w:tcPr>
          <w:p w:rsidR="00B66146" w:rsidRPr="003F5586" w:rsidRDefault="00B66146">
            <w:pPr>
              <w:pStyle w:val="TableText"/>
              <w:rPr>
                <w:rFonts w:eastAsia="Arial Unicode MS"/>
              </w:rPr>
            </w:pPr>
            <w:r w:rsidRPr="003F5586">
              <w:t>Public health services</w:t>
            </w:r>
          </w:p>
        </w:tc>
        <w:tc>
          <w:tcPr>
            <w:tcW w:w="1531" w:type="dxa"/>
            <w:tcBorders>
              <w:top w:val="single" w:sz="4" w:space="0" w:color="auto"/>
              <w:left w:val="single" w:sz="4" w:space="0" w:color="auto"/>
              <w:bottom w:val="single" w:sz="4" w:space="0" w:color="999999"/>
              <w:right w:val="single" w:sz="4" w:space="0" w:color="auto"/>
            </w:tcBorders>
            <w:noWrap/>
            <w:vAlign w:val="center"/>
            <w:hideMark/>
          </w:tcPr>
          <w:p w:rsidR="00B66146" w:rsidRPr="003F5586" w:rsidRDefault="00EF5292" w:rsidP="00EF5292">
            <w:pPr>
              <w:pStyle w:val="TableText"/>
              <w:jc w:val="center"/>
              <w:rPr>
                <w:rFonts w:eastAsia="Arial Unicode MS"/>
              </w:rPr>
            </w:pPr>
            <w:r>
              <w:rPr>
                <w:rFonts w:eastAsia="Arial Unicode MS"/>
              </w:rPr>
              <w:t>6.</w:t>
            </w:r>
            <w:r w:rsidR="00C20543">
              <w:rPr>
                <w:rFonts w:eastAsia="Arial Unicode MS"/>
              </w:rPr>
              <w:t>779</w:t>
            </w:r>
          </w:p>
        </w:tc>
        <w:tc>
          <w:tcPr>
            <w:tcW w:w="1531" w:type="dxa"/>
            <w:tcBorders>
              <w:top w:val="single" w:sz="4" w:space="0" w:color="auto"/>
              <w:left w:val="single" w:sz="4" w:space="0" w:color="auto"/>
              <w:bottom w:val="single" w:sz="4" w:space="0" w:color="999999"/>
              <w:right w:val="single" w:sz="4" w:space="0" w:color="auto"/>
            </w:tcBorders>
            <w:noWrap/>
            <w:vAlign w:val="center"/>
            <w:hideMark/>
          </w:tcPr>
          <w:p w:rsidR="00B66146" w:rsidRPr="003F5586" w:rsidRDefault="00C20543" w:rsidP="00EF5292">
            <w:pPr>
              <w:pStyle w:val="TableText"/>
              <w:jc w:val="center"/>
              <w:rPr>
                <w:rFonts w:eastAsia="Arial Unicode MS"/>
              </w:rPr>
            </w:pPr>
            <w:r>
              <w:rPr>
                <w:rFonts w:eastAsia="Arial Unicode MS"/>
              </w:rPr>
              <w:t>6.858</w:t>
            </w:r>
          </w:p>
        </w:tc>
        <w:tc>
          <w:tcPr>
            <w:tcW w:w="1531" w:type="dxa"/>
            <w:tcBorders>
              <w:top w:val="single" w:sz="4" w:space="0" w:color="auto"/>
              <w:left w:val="single" w:sz="4" w:space="0" w:color="auto"/>
              <w:bottom w:val="single" w:sz="4" w:space="0" w:color="999999"/>
              <w:right w:val="nil"/>
            </w:tcBorders>
            <w:noWrap/>
            <w:vAlign w:val="center"/>
            <w:hideMark/>
          </w:tcPr>
          <w:p w:rsidR="00B66146" w:rsidRPr="003F5586" w:rsidRDefault="00EF5292" w:rsidP="00EF5292">
            <w:pPr>
              <w:pStyle w:val="TableText"/>
              <w:jc w:val="center"/>
              <w:rPr>
                <w:rFonts w:eastAsia="Arial Unicode MS"/>
              </w:rPr>
            </w:pPr>
            <w:r>
              <w:rPr>
                <w:rFonts w:eastAsia="Arial Unicode MS"/>
              </w:rPr>
              <w:t>6.</w:t>
            </w:r>
            <w:r w:rsidR="00C20543">
              <w:rPr>
                <w:rFonts w:eastAsia="Arial Unicode MS"/>
              </w:rPr>
              <w:t>835</w:t>
            </w:r>
          </w:p>
        </w:tc>
        <w:tc>
          <w:tcPr>
            <w:tcW w:w="1531" w:type="dxa"/>
            <w:tcBorders>
              <w:top w:val="single" w:sz="4" w:space="0" w:color="auto"/>
              <w:left w:val="single" w:sz="4" w:space="0" w:color="auto"/>
              <w:bottom w:val="single" w:sz="4" w:space="0" w:color="999999"/>
              <w:right w:val="nil"/>
            </w:tcBorders>
            <w:vAlign w:val="center"/>
          </w:tcPr>
          <w:p w:rsidR="00B66146" w:rsidRPr="003F5586" w:rsidRDefault="00EF5292" w:rsidP="00C20543">
            <w:pPr>
              <w:pStyle w:val="TableText"/>
              <w:jc w:val="center"/>
              <w:rPr>
                <w:rFonts w:eastAsia="Arial Unicode MS"/>
              </w:rPr>
            </w:pPr>
            <w:r>
              <w:rPr>
                <w:rFonts w:eastAsia="Arial Unicode MS"/>
              </w:rPr>
              <w:t>20.</w:t>
            </w:r>
            <w:r w:rsidR="00C20543">
              <w:rPr>
                <w:rFonts w:eastAsia="Arial Unicode MS"/>
              </w:rPr>
              <w:t>472</w:t>
            </w:r>
          </w:p>
        </w:tc>
      </w:tr>
      <w:tr w:rsidR="00B66146" w:rsidRPr="003F5586" w:rsidTr="00A3042F">
        <w:trPr>
          <w:cantSplit/>
        </w:trPr>
        <w:tc>
          <w:tcPr>
            <w:tcW w:w="2438" w:type="dxa"/>
            <w:tcBorders>
              <w:top w:val="single" w:sz="4" w:space="0" w:color="999999"/>
              <w:left w:val="nil"/>
              <w:bottom w:val="single" w:sz="4" w:space="0" w:color="999999"/>
              <w:right w:val="single" w:sz="4" w:space="0" w:color="auto"/>
            </w:tcBorders>
            <w:noWrap/>
            <w:hideMark/>
          </w:tcPr>
          <w:p w:rsidR="00B66146" w:rsidRPr="003F5586" w:rsidRDefault="00B66146">
            <w:pPr>
              <w:pStyle w:val="TableText"/>
              <w:rPr>
                <w:rFonts w:eastAsia="Arial Unicode MS"/>
              </w:rPr>
            </w:pPr>
            <w:r w:rsidRPr="003F5586">
              <w:t>Intervention services</w:t>
            </w:r>
          </w:p>
        </w:tc>
        <w:tc>
          <w:tcPr>
            <w:tcW w:w="1531" w:type="dxa"/>
            <w:tcBorders>
              <w:top w:val="single" w:sz="4" w:space="0" w:color="999999"/>
              <w:left w:val="single" w:sz="4" w:space="0" w:color="auto"/>
              <w:bottom w:val="single" w:sz="4" w:space="0" w:color="999999"/>
              <w:right w:val="single" w:sz="4" w:space="0" w:color="auto"/>
            </w:tcBorders>
            <w:noWrap/>
            <w:vAlign w:val="center"/>
            <w:hideMark/>
          </w:tcPr>
          <w:p w:rsidR="00B66146" w:rsidRPr="003F5586" w:rsidRDefault="00EF5292" w:rsidP="00EF5292">
            <w:pPr>
              <w:pStyle w:val="TableText"/>
              <w:jc w:val="center"/>
              <w:rPr>
                <w:rFonts w:eastAsia="Arial Unicode MS"/>
              </w:rPr>
            </w:pPr>
            <w:r>
              <w:rPr>
                <w:rFonts w:eastAsia="Arial Unicode MS"/>
              </w:rPr>
              <w:t>8.</w:t>
            </w:r>
            <w:r w:rsidR="00C20543">
              <w:rPr>
                <w:rFonts w:eastAsia="Arial Unicode MS"/>
              </w:rPr>
              <w:t>330</w:t>
            </w:r>
          </w:p>
        </w:tc>
        <w:tc>
          <w:tcPr>
            <w:tcW w:w="1531" w:type="dxa"/>
            <w:tcBorders>
              <w:top w:val="single" w:sz="4" w:space="0" w:color="999999"/>
              <w:left w:val="single" w:sz="4" w:space="0" w:color="auto"/>
              <w:bottom w:val="single" w:sz="4" w:space="0" w:color="999999"/>
              <w:right w:val="single" w:sz="4" w:space="0" w:color="auto"/>
            </w:tcBorders>
            <w:noWrap/>
            <w:vAlign w:val="center"/>
            <w:hideMark/>
          </w:tcPr>
          <w:p w:rsidR="00B66146" w:rsidRPr="003F5586" w:rsidRDefault="00EF5292" w:rsidP="00EF5292">
            <w:pPr>
              <w:pStyle w:val="TableText"/>
              <w:jc w:val="center"/>
              <w:rPr>
                <w:rFonts w:eastAsia="Arial Unicode MS"/>
              </w:rPr>
            </w:pPr>
            <w:r>
              <w:rPr>
                <w:rFonts w:eastAsia="Arial Unicode MS"/>
              </w:rPr>
              <w:t>8.5</w:t>
            </w:r>
            <w:r w:rsidR="00C20543">
              <w:rPr>
                <w:rFonts w:eastAsia="Arial Unicode MS"/>
              </w:rPr>
              <w:t>50</w:t>
            </w:r>
          </w:p>
        </w:tc>
        <w:tc>
          <w:tcPr>
            <w:tcW w:w="1531" w:type="dxa"/>
            <w:tcBorders>
              <w:top w:val="single" w:sz="4" w:space="0" w:color="999999"/>
              <w:left w:val="single" w:sz="4" w:space="0" w:color="auto"/>
              <w:bottom w:val="single" w:sz="4" w:space="0" w:color="999999"/>
              <w:right w:val="nil"/>
            </w:tcBorders>
            <w:noWrap/>
            <w:vAlign w:val="center"/>
            <w:hideMark/>
          </w:tcPr>
          <w:p w:rsidR="00B66146" w:rsidRPr="003F5586" w:rsidRDefault="00C20543" w:rsidP="00EF5292">
            <w:pPr>
              <w:pStyle w:val="TableText"/>
              <w:jc w:val="center"/>
              <w:rPr>
                <w:rFonts w:eastAsia="Arial Unicode MS"/>
              </w:rPr>
            </w:pPr>
            <w:r>
              <w:rPr>
                <w:rFonts w:eastAsia="Arial Unicode MS"/>
              </w:rPr>
              <w:t>8.420</w:t>
            </w:r>
          </w:p>
        </w:tc>
        <w:tc>
          <w:tcPr>
            <w:tcW w:w="1531" w:type="dxa"/>
            <w:tcBorders>
              <w:top w:val="single" w:sz="4" w:space="0" w:color="999999"/>
              <w:left w:val="single" w:sz="4" w:space="0" w:color="auto"/>
              <w:bottom w:val="single" w:sz="4" w:space="0" w:color="999999"/>
              <w:right w:val="nil"/>
            </w:tcBorders>
            <w:vAlign w:val="center"/>
          </w:tcPr>
          <w:p w:rsidR="00B66146" w:rsidRPr="003F5586" w:rsidRDefault="00EF5292" w:rsidP="00EF5292">
            <w:pPr>
              <w:pStyle w:val="TableText"/>
              <w:jc w:val="center"/>
              <w:rPr>
                <w:rFonts w:eastAsia="Arial Unicode MS"/>
              </w:rPr>
            </w:pPr>
            <w:r>
              <w:rPr>
                <w:rFonts w:eastAsia="Arial Unicode MS"/>
              </w:rPr>
              <w:t>25.</w:t>
            </w:r>
            <w:r w:rsidR="00C20543">
              <w:rPr>
                <w:rFonts w:eastAsia="Arial Unicode MS"/>
              </w:rPr>
              <w:t>300</w:t>
            </w:r>
          </w:p>
        </w:tc>
      </w:tr>
      <w:tr w:rsidR="00B66146" w:rsidRPr="003F5586" w:rsidTr="00A3042F">
        <w:trPr>
          <w:cantSplit/>
        </w:trPr>
        <w:tc>
          <w:tcPr>
            <w:tcW w:w="2438" w:type="dxa"/>
            <w:tcBorders>
              <w:top w:val="single" w:sz="4" w:space="0" w:color="999999"/>
              <w:left w:val="nil"/>
              <w:bottom w:val="single" w:sz="4" w:space="0" w:color="999999"/>
              <w:right w:val="single" w:sz="4" w:space="0" w:color="auto"/>
            </w:tcBorders>
            <w:noWrap/>
            <w:hideMark/>
          </w:tcPr>
          <w:p w:rsidR="00B66146" w:rsidRPr="002562F1" w:rsidRDefault="00B66146">
            <w:pPr>
              <w:pStyle w:val="TableText"/>
              <w:rPr>
                <w:rFonts w:eastAsia="Arial Unicode MS"/>
              </w:rPr>
            </w:pPr>
            <w:r w:rsidRPr="002562F1">
              <w:t xml:space="preserve">Research </w:t>
            </w:r>
            <w:r w:rsidR="00C20543" w:rsidRPr="002562F1">
              <w:t>and evaluation</w:t>
            </w:r>
          </w:p>
        </w:tc>
        <w:tc>
          <w:tcPr>
            <w:tcW w:w="1531" w:type="dxa"/>
            <w:tcBorders>
              <w:top w:val="single" w:sz="4" w:space="0" w:color="999999"/>
              <w:left w:val="single" w:sz="4" w:space="0" w:color="auto"/>
              <w:bottom w:val="single" w:sz="4" w:space="0" w:color="999999"/>
              <w:right w:val="single" w:sz="4" w:space="0" w:color="auto"/>
            </w:tcBorders>
            <w:noWrap/>
            <w:vAlign w:val="center"/>
            <w:hideMark/>
          </w:tcPr>
          <w:p w:rsidR="00B66146" w:rsidRPr="002562F1" w:rsidRDefault="00EF5292" w:rsidP="00EF5292">
            <w:pPr>
              <w:pStyle w:val="TableText"/>
              <w:jc w:val="center"/>
              <w:rPr>
                <w:rFonts w:eastAsia="Arial Unicode MS"/>
              </w:rPr>
            </w:pPr>
            <w:r w:rsidRPr="002562F1">
              <w:rPr>
                <w:rFonts w:eastAsia="Arial Unicode MS"/>
              </w:rPr>
              <w:t>2.</w:t>
            </w:r>
            <w:r w:rsidR="00C20543" w:rsidRPr="002562F1">
              <w:rPr>
                <w:rFonts w:eastAsia="Arial Unicode MS"/>
              </w:rPr>
              <w:t>630</w:t>
            </w:r>
          </w:p>
        </w:tc>
        <w:tc>
          <w:tcPr>
            <w:tcW w:w="1531" w:type="dxa"/>
            <w:tcBorders>
              <w:top w:val="single" w:sz="4" w:space="0" w:color="999999"/>
              <w:left w:val="single" w:sz="4" w:space="0" w:color="auto"/>
              <w:bottom w:val="single" w:sz="4" w:space="0" w:color="999999"/>
              <w:right w:val="single" w:sz="4" w:space="0" w:color="auto"/>
            </w:tcBorders>
            <w:noWrap/>
            <w:vAlign w:val="center"/>
            <w:hideMark/>
          </w:tcPr>
          <w:p w:rsidR="00B66146" w:rsidRPr="002562F1" w:rsidRDefault="00EF5292" w:rsidP="00EF5292">
            <w:pPr>
              <w:pStyle w:val="TableText"/>
              <w:jc w:val="center"/>
              <w:rPr>
                <w:rFonts w:eastAsia="Arial Unicode MS"/>
              </w:rPr>
            </w:pPr>
            <w:r w:rsidRPr="002562F1">
              <w:rPr>
                <w:rFonts w:eastAsia="Arial Unicode MS"/>
              </w:rPr>
              <w:t>2.</w:t>
            </w:r>
            <w:r w:rsidR="00C20543" w:rsidRPr="002562F1">
              <w:rPr>
                <w:rFonts w:eastAsia="Arial Unicode MS"/>
              </w:rPr>
              <w:t>125</w:t>
            </w:r>
          </w:p>
        </w:tc>
        <w:tc>
          <w:tcPr>
            <w:tcW w:w="1531" w:type="dxa"/>
            <w:tcBorders>
              <w:top w:val="single" w:sz="4" w:space="0" w:color="999999"/>
              <w:left w:val="single" w:sz="4" w:space="0" w:color="auto"/>
              <w:bottom w:val="single" w:sz="4" w:space="0" w:color="999999"/>
              <w:right w:val="nil"/>
            </w:tcBorders>
            <w:noWrap/>
            <w:vAlign w:val="center"/>
            <w:hideMark/>
          </w:tcPr>
          <w:p w:rsidR="00B66146" w:rsidRPr="002562F1" w:rsidRDefault="00B66146" w:rsidP="00EF5292">
            <w:pPr>
              <w:pStyle w:val="TableText"/>
              <w:jc w:val="center"/>
              <w:rPr>
                <w:rFonts w:eastAsia="Arial Unicode MS"/>
              </w:rPr>
            </w:pPr>
            <w:r w:rsidRPr="002562F1">
              <w:rPr>
                <w:rFonts w:eastAsia="Arial Unicode MS"/>
              </w:rPr>
              <w:t>1</w:t>
            </w:r>
            <w:r w:rsidR="00EF5292" w:rsidRPr="002562F1">
              <w:rPr>
                <w:rFonts w:eastAsia="Arial Unicode MS"/>
              </w:rPr>
              <w:t>.</w:t>
            </w:r>
            <w:r w:rsidR="00C20543" w:rsidRPr="002562F1">
              <w:rPr>
                <w:rFonts w:eastAsia="Arial Unicode MS"/>
              </w:rPr>
              <w:t>875</w:t>
            </w:r>
          </w:p>
        </w:tc>
        <w:tc>
          <w:tcPr>
            <w:tcW w:w="1531" w:type="dxa"/>
            <w:tcBorders>
              <w:top w:val="single" w:sz="4" w:space="0" w:color="999999"/>
              <w:left w:val="single" w:sz="4" w:space="0" w:color="auto"/>
              <w:bottom w:val="single" w:sz="4" w:space="0" w:color="999999"/>
              <w:right w:val="nil"/>
            </w:tcBorders>
            <w:vAlign w:val="center"/>
          </w:tcPr>
          <w:p w:rsidR="00B66146" w:rsidRPr="003F5586" w:rsidRDefault="00EF5292" w:rsidP="00EF5292">
            <w:pPr>
              <w:pStyle w:val="TableText"/>
              <w:jc w:val="center"/>
              <w:rPr>
                <w:rFonts w:eastAsia="Arial Unicode MS"/>
              </w:rPr>
            </w:pPr>
            <w:r w:rsidRPr="002562F1">
              <w:rPr>
                <w:rFonts w:eastAsia="Arial Unicode MS"/>
              </w:rPr>
              <w:t>6.</w:t>
            </w:r>
            <w:r w:rsidR="00C20543" w:rsidRPr="002562F1">
              <w:rPr>
                <w:rFonts w:eastAsia="Arial Unicode MS"/>
              </w:rPr>
              <w:t>630</w:t>
            </w:r>
          </w:p>
        </w:tc>
      </w:tr>
      <w:tr w:rsidR="00B66146" w:rsidRPr="003F5586" w:rsidTr="00A3042F">
        <w:trPr>
          <w:cantSplit/>
        </w:trPr>
        <w:tc>
          <w:tcPr>
            <w:tcW w:w="2438" w:type="dxa"/>
            <w:tcBorders>
              <w:top w:val="single" w:sz="4" w:space="0" w:color="999999"/>
              <w:left w:val="nil"/>
              <w:bottom w:val="single" w:sz="4" w:space="0" w:color="auto"/>
              <w:right w:val="single" w:sz="4" w:space="0" w:color="auto"/>
            </w:tcBorders>
            <w:noWrap/>
            <w:hideMark/>
          </w:tcPr>
          <w:p w:rsidR="00B66146" w:rsidRPr="003F5586" w:rsidRDefault="00DD4D0F">
            <w:pPr>
              <w:pStyle w:val="TableText"/>
              <w:rPr>
                <w:rFonts w:eastAsia="Arial Unicode MS"/>
              </w:rPr>
            </w:pPr>
            <w:r>
              <w:t xml:space="preserve">Ministry </w:t>
            </w:r>
            <w:r w:rsidR="00B66146" w:rsidRPr="003F5586">
              <w:t>operating costs</w:t>
            </w:r>
          </w:p>
        </w:tc>
        <w:tc>
          <w:tcPr>
            <w:tcW w:w="1531" w:type="dxa"/>
            <w:tcBorders>
              <w:top w:val="single" w:sz="4" w:space="0" w:color="999999"/>
              <w:left w:val="single" w:sz="4" w:space="0" w:color="auto"/>
              <w:bottom w:val="single" w:sz="4" w:space="0" w:color="auto"/>
              <w:right w:val="single" w:sz="4" w:space="0" w:color="auto"/>
            </w:tcBorders>
            <w:noWrap/>
            <w:vAlign w:val="center"/>
            <w:hideMark/>
          </w:tcPr>
          <w:p w:rsidR="00B66146" w:rsidRPr="003F5586" w:rsidRDefault="00EF5292" w:rsidP="00EF5292">
            <w:pPr>
              <w:pStyle w:val="TableText"/>
              <w:jc w:val="center"/>
              <w:rPr>
                <w:rFonts w:eastAsia="Arial Unicode MS"/>
              </w:rPr>
            </w:pPr>
            <w:r>
              <w:rPr>
                <w:rFonts w:eastAsia="Arial Unicode MS"/>
              </w:rPr>
              <w:t>0.957</w:t>
            </w:r>
          </w:p>
        </w:tc>
        <w:tc>
          <w:tcPr>
            <w:tcW w:w="1531" w:type="dxa"/>
            <w:tcBorders>
              <w:top w:val="single" w:sz="4" w:space="0" w:color="999999"/>
              <w:left w:val="single" w:sz="4" w:space="0" w:color="auto"/>
              <w:bottom w:val="single" w:sz="4" w:space="0" w:color="auto"/>
              <w:right w:val="single" w:sz="4" w:space="0" w:color="auto"/>
            </w:tcBorders>
            <w:noWrap/>
            <w:vAlign w:val="center"/>
            <w:hideMark/>
          </w:tcPr>
          <w:p w:rsidR="00B66146" w:rsidRPr="003F5586" w:rsidRDefault="00EF5292" w:rsidP="00EF5292">
            <w:pPr>
              <w:pStyle w:val="TableText"/>
              <w:jc w:val="center"/>
              <w:rPr>
                <w:rFonts w:eastAsia="Arial Unicode MS"/>
              </w:rPr>
            </w:pPr>
            <w:r>
              <w:rPr>
                <w:rFonts w:eastAsia="Arial Unicode MS"/>
              </w:rPr>
              <w:t>0.979</w:t>
            </w:r>
          </w:p>
        </w:tc>
        <w:tc>
          <w:tcPr>
            <w:tcW w:w="1531" w:type="dxa"/>
            <w:tcBorders>
              <w:top w:val="single" w:sz="4" w:space="0" w:color="999999"/>
              <w:left w:val="single" w:sz="4" w:space="0" w:color="auto"/>
              <w:bottom w:val="single" w:sz="4" w:space="0" w:color="auto"/>
              <w:right w:val="nil"/>
            </w:tcBorders>
            <w:noWrap/>
            <w:vAlign w:val="center"/>
            <w:hideMark/>
          </w:tcPr>
          <w:p w:rsidR="00B66146" w:rsidRPr="003F5586" w:rsidRDefault="00EF5292" w:rsidP="00EF5292">
            <w:pPr>
              <w:pStyle w:val="TableText"/>
              <w:jc w:val="center"/>
              <w:rPr>
                <w:rFonts w:eastAsia="Arial Unicode MS"/>
              </w:rPr>
            </w:pPr>
            <w:r>
              <w:rPr>
                <w:rFonts w:eastAsia="Arial Unicode MS"/>
              </w:rPr>
              <w:t>1.001</w:t>
            </w:r>
          </w:p>
        </w:tc>
        <w:tc>
          <w:tcPr>
            <w:tcW w:w="1531" w:type="dxa"/>
            <w:tcBorders>
              <w:top w:val="single" w:sz="4" w:space="0" w:color="999999"/>
              <w:left w:val="single" w:sz="4" w:space="0" w:color="auto"/>
              <w:bottom w:val="single" w:sz="4" w:space="0" w:color="auto"/>
              <w:right w:val="nil"/>
            </w:tcBorders>
            <w:vAlign w:val="center"/>
          </w:tcPr>
          <w:p w:rsidR="00B66146" w:rsidRPr="003F5586" w:rsidRDefault="00EF5292" w:rsidP="00EF5292">
            <w:pPr>
              <w:pStyle w:val="TableText"/>
              <w:jc w:val="center"/>
              <w:rPr>
                <w:rFonts w:eastAsia="Arial Unicode MS"/>
              </w:rPr>
            </w:pPr>
            <w:r>
              <w:rPr>
                <w:rFonts w:eastAsia="Arial Unicode MS"/>
              </w:rPr>
              <w:t>2.937</w:t>
            </w:r>
          </w:p>
        </w:tc>
      </w:tr>
      <w:tr w:rsidR="00B66146" w:rsidRPr="003F5586" w:rsidTr="00A3042F">
        <w:trPr>
          <w:cantSplit/>
        </w:trPr>
        <w:tc>
          <w:tcPr>
            <w:tcW w:w="2438" w:type="dxa"/>
            <w:tcBorders>
              <w:top w:val="single" w:sz="4" w:space="0" w:color="auto"/>
              <w:left w:val="nil"/>
              <w:bottom w:val="single" w:sz="12" w:space="0" w:color="auto"/>
              <w:right w:val="single" w:sz="4" w:space="0" w:color="auto"/>
            </w:tcBorders>
            <w:noWrap/>
            <w:hideMark/>
          </w:tcPr>
          <w:p w:rsidR="00B66146" w:rsidRPr="003F5586" w:rsidRDefault="00B66146">
            <w:pPr>
              <w:pStyle w:val="TableText"/>
              <w:rPr>
                <w:rFonts w:eastAsia="Arial Unicode MS"/>
                <w:b/>
              </w:rPr>
            </w:pPr>
            <w:r w:rsidRPr="003F5586">
              <w:rPr>
                <w:b/>
              </w:rPr>
              <w:t>Total</w:t>
            </w:r>
            <w:r w:rsidR="0037059B">
              <w:rPr>
                <w:b/>
              </w:rPr>
              <w:t xml:space="preserve"> ($)</w:t>
            </w:r>
          </w:p>
        </w:tc>
        <w:tc>
          <w:tcPr>
            <w:tcW w:w="1531" w:type="dxa"/>
            <w:tcBorders>
              <w:top w:val="single" w:sz="4" w:space="0" w:color="auto"/>
              <w:left w:val="single" w:sz="4" w:space="0" w:color="auto"/>
              <w:bottom w:val="single" w:sz="12" w:space="0" w:color="auto"/>
              <w:right w:val="single" w:sz="4" w:space="0" w:color="auto"/>
            </w:tcBorders>
            <w:noWrap/>
            <w:vAlign w:val="center"/>
            <w:hideMark/>
          </w:tcPr>
          <w:p w:rsidR="00B66146" w:rsidRPr="003F5586" w:rsidRDefault="00EF5292" w:rsidP="00EF5292">
            <w:pPr>
              <w:pStyle w:val="TableText"/>
              <w:jc w:val="center"/>
              <w:rPr>
                <w:rFonts w:eastAsia="Arial Unicode MS"/>
                <w:b/>
              </w:rPr>
            </w:pPr>
            <w:r>
              <w:rPr>
                <w:rFonts w:eastAsia="Arial Unicode MS"/>
                <w:b/>
              </w:rPr>
              <w:t>18.6</w:t>
            </w:r>
            <w:r w:rsidR="00C20543">
              <w:rPr>
                <w:rFonts w:eastAsia="Arial Unicode MS"/>
                <w:b/>
              </w:rPr>
              <w:t>96</w:t>
            </w:r>
          </w:p>
        </w:tc>
        <w:tc>
          <w:tcPr>
            <w:tcW w:w="1531" w:type="dxa"/>
            <w:tcBorders>
              <w:top w:val="single" w:sz="4" w:space="0" w:color="auto"/>
              <w:left w:val="single" w:sz="4" w:space="0" w:color="auto"/>
              <w:bottom w:val="single" w:sz="12" w:space="0" w:color="auto"/>
              <w:right w:val="single" w:sz="4" w:space="0" w:color="auto"/>
            </w:tcBorders>
            <w:noWrap/>
            <w:vAlign w:val="center"/>
            <w:hideMark/>
          </w:tcPr>
          <w:p w:rsidR="00B66146" w:rsidRPr="003F5586" w:rsidRDefault="00EF5292" w:rsidP="00EF5292">
            <w:pPr>
              <w:pStyle w:val="TableText"/>
              <w:jc w:val="center"/>
              <w:rPr>
                <w:rFonts w:eastAsia="Arial Unicode MS"/>
                <w:b/>
              </w:rPr>
            </w:pPr>
            <w:r>
              <w:rPr>
                <w:rFonts w:eastAsia="Arial Unicode MS"/>
                <w:b/>
              </w:rPr>
              <w:t>18.</w:t>
            </w:r>
            <w:r w:rsidR="00C20543">
              <w:rPr>
                <w:rFonts w:eastAsia="Arial Unicode MS"/>
                <w:b/>
              </w:rPr>
              <w:t>512</w:t>
            </w:r>
          </w:p>
        </w:tc>
        <w:tc>
          <w:tcPr>
            <w:tcW w:w="1531" w:type="dxa"/>
            <w:tcBorders>
              <w:top w:val="single" w:sz="4" w:space="0" w:color="auto"/>
              <w:left w:val="single" w:sz="4" w:space="0" w:color="auto"/>
              <w:bottom w:val="single" w:sz="12" w:space="0" w:color="auto"/>
              <w:right w:val="nil"/>
            </w:tcBorders>
            <w:noWrap/>
            <w:vAlign w:val="center"/>
            <w:hideMark/>
          </w:tcPr>
          <w:p w:rsidR="00B66146" w:rsidRPr="003F5586" w:rsidRDefault="00C20543" w:rsidP="00EF5292">
            <w:pPr>
              <w:pStyle w:val="TableText"/>
              <w:jc w:val="center"/>
              <w:rPr>
                <w:rFonts w:eastAsia="Arial Unicode MS"/>
                <w:b/>
              </w:rPr>
            </w:pPr>
            <w:r>
              <w:rPr>
                <w:rFonts w:eastAsia="Arial Unicode MS"/>
                <w:b/>
              </w:rPr>
              <w:t>18</w:t>
            </w:r>
            <w:r w:rsidR="00EF5292">
              <w:rPr>
                <w:rFonts w:eastAsia="Arial Unicode MS"/>
                <w:b/>
              </w:rPr>
              <w:t>.</w:t>
            </w:r>
            <w:r>
              <w:rPr>
                <w:rFonts w:eastAsia="Arial Unicode MS"/>
                <w:b/>
              </w:rPr>
              <w:t>131</w:t>
            </w:r>
          </w:p>
        </w:tc>
        <w:tc>
          <w:tcPr>
            <w:tcW w:w="1531" w:type="dxa"/>
            <w:tcBorders>
              <w:top w:val="single" w:sz="4" w:space="0" w:color="auto"/>
              <w:left w:val="single" w:sz="4" w:space="0" w:color="auto"/>
              <w:bottom w:val="single" w:sz="12" w:space="0" w:color="auto"/>
              <w:right w:val="nil"/>
            </w:tcBorders>
            <w:vAlign w:val="center"/>
          </w:tcPr>
          <w:p w:rsidR="00B66146" w:rsidRPr="003F5586" w:rsidRDefault="00EF5292" w:rsidP="00EF5292">
            <w:pPr>
              <w:pStyle w:val="TableText"/>
              <w:jc w:val="center"/>
              <w:rPr>
                <w:rFonts w:eastAsia="Arial Unicode MS"/>
                <w:b/>
              </w:rPr>
            </w:pPr>
            <w:r>
              <w:rPr>
                <w:rFonts w:eastAsia="Arial Unicode MS"/>
                <w:b/>
              </w:rPr>
              <w:t>55.</w:t>
            </w:r>
            <w:r w:rsidR="00C20543">
              <w:rPr>
                <w:rFonts w:eastAsia="Arial Unicode MS"/>
                <w:b/>
              </w:rPr>
              <w:t>339</w:t>
            </w:r>
          </w:p>
        </w:tc>
      </w:tr>
    </w:tbl>
    <w:p w:rsidR="003F5586" w:rsidRPr="00772A70" w:rsidRDefault="003F5586" w:rsidP="00931A4F">
      <w:pPr>
        <w:spacing w:after="120"/>
        <w:rPr>
          <w:sz w:val="22"/>
          <w:szCs w:val="22"/>
        </w:rPr>
      </w:pPr>
    </w:p>
    <w:p w:rsidR="005C3BF4" w:rsidRPr="00772A70" w:rsidRDefault="008A0ECD" w:rsidP="00363780">
      <w:pPr>
        <w:numPr>
          <w:ilvl w:val="0"/>
          <w:numId w:val="41"/>
        </w:numPr>
        <w:ind w:left="567" w:hanging="567"/>
        <w:rPr>
          <w:sz w:val="22"/>
          <w:szCs w:val="22"/>
        </w:rPr>
      </w:pPr>
      <w:r>
        <w:rPr>
          <w:sz w:val="22"/>
          <w:szCs w:val="22"/>
        </w:rPr>
        <w:t>Outputs</w:t>
      </w:r>
      <w:r w:rsidR="00772A70" w:rsidRPr="00772A70">
        <w:rPr>
          <w:sz w:val="22"/>
          <w:szCs w:val="22"/>
        </w:rPr>
        <w:t xml:space="preserve"> purchased with this funding include:</w:t>
      </w:r>
    </w:p>
    <w:p w:rsidR="00772A70" w:rsidRPr="0008483D" w:rsidRDefault="00772A70" w:rsidP="00E512D1">
      <w:pPr>
        <w:numPr>
          <w:ilvl w:val="0"/>
          <w:numId w:val="13"/>
        </w:numPr>
        <w:spacing w:before="120"/>
        <w:ind w:left="993" w:hanging="426"/>
        <w:rPr>
          <w:sz w:val="22"/>
          <w:szCs w:val="22"/>
        </w:rPr>
      </w:pPr>
      <w:r>
        <w:rPr>
          <w:sz w:val="22"/>
          <w:szCs w:val="22"/>
        </w:rPr>
        <w:t>primary prevention services</w:t>
      </w:r>
      <w:r w:rsidR="00EC6119">
        <w:rPr>
          <w:sz w:val="22"/>
          <w:szCs w:val="22"/>
        </w:rPr>
        <w:t xml:space="preserve"> </w:t>
      </w:r>
      <w:r>
        <w:rPr>
          <w:sz w:val="22"/>
          <w:szCs w:val="22"/>
        </w:rPr>
        <w:t>– a variety of activities in the community</w:t>
      </w:r>
      <w:r w:rsidR="008A0ECD">
        <w:rPr>
          <w:sz w:val="22"/>
          <w:szCs w:val="22"/>
        </w:rPr>
        <w:t xml:space="preserve"> </w:t>
      </w:r>
      <w:r w:rsidR="00E512D1">
        <w:rPr>
          <w:sz w:val="22"/>
          <w:szCs w:val="22"/>
        </w:rPr>
        <w:t>to reduce gambling harm</w:t>
      </w:r>
    </w:p>
    <w:p w:rsidR="00772A70" w:rsidRDefault="008A0ECD" w:rsidP="00E512D1">
      <w:pPr>
        <w:numPr>
          <w:ilvl w:val="0"/>
          <w:numId w:val="13"/>
        </w:numPr>
        <w:spacing w:before="120"/>
        <w:ind w:left="993" w:hanging="426"/>
        <w:rPr>
          <w:sz w:val="22"/>
          <w:szCs w:val="22"/>
        </w:rPr>
      </w:pPr>
      <w:r>
        <w:rPr>
          <w:sz w:val="22"/>
          <w:szCs w:val="22"/>
        </w:rPr>
        <w:t>a gambling harm awareness and education programme coordinated by the Health Promotion Agency</w:t>
      </w:r>
    </w:p>
    <w:p w:rsidR="00573409" w:rsidRDefault="00573409" w:rsidP="00E512D1">
      <w:pPr>
        <w:numPr>
          <w:ilvl w:val="0"/>
          <w:numId w:val="13"/>
        </w:numPr>
        <w:spacing w:before="120"/>
        <w:ind w:left="993" w:hanging="426"/>
        <w:rPr>
          <w:sz w:val="22"/>
          <w:szCs w:val="22"/>
        </w:rPr>
      </w:pPr>
      <w:r>
        <w:rPr>
          <w:sz w:val="22"/>
          <w:szCs w:val="22"/>
        </w:rPr>
        <w:t xml:space="preserve">psychosocial </w:t>
      </w:r>
      <w:r w:rsidR="00EC6119">
        <w:rPr>
          <w:sz w:val="22"/>
          <w:szCs w:val="22"/>
        </w:rPr>
        <w:t>intervention</w:t>
      </w:r>
      <w:r>
        <w:rPr>
          <w:sz w:val="22"/>
          <w:szCs w:val="22"/>
        </w:rPr>
        <w:t xml:space="preserve"> and support services </w:t>
      </w:r>
    </w:p>
    <w:p w:rsidR="00573409" w:rsidRDefault="00573409" w:rsidP="00E512D1">
      <w:pPr>
        <w:numPr>
          <w:ilvl w:val="0"/>
          <w:numId w:val="13"/>
        </w:numPr>
        <w:spacing w:before="120"/>
        <w:ind w:left="993" w:hanging="426"/>
        <w:rPr>
          <w:sz w:val="22"/>
          <w:szCs w:val="22"/>
        </w:rPr>
      </w:pPr>
      <w:r>
        <w:rPr>
          <w:sz w:val="22"/>
          <w:szCs w:val="22"/>
        </w:rPr>
        <w:t xml:space="preserve">a 24-hour </w:t>
      </w:r>
      <w:r w:rsidR="0018061F">
        <w:rPr>
          <w:sz w:val="22"/>
          <w:szCs w:val="22"/>
        </w:rPr>
        <w:t>seven</w:t>
      </w:r>
      <w:r>
        <w:rPr>
          <w:sz w:val="22"/>
          <w:szCs w:val="22"/>
        </w:rPr>
        <w:t>-day</w:t>
      </w:r>
      <w:r w:rsidR="00EC6119">
        <w:rPr>
          <w:sz w:val="22"/>
          <w:szCs w:val="22"/>
        </w:rPr>
        <w:t>-a-week</w:t>
      </w:r>
      <w:r>
        <w:rPr>
          <w:sz w:val="22"/>
          <w:szCs w:val="22"/>
        </w:rPr>
        <w:t xml:space="preserve"> Gambling Helpline</w:t>
      </w:r>
      <w:r w:rsidR="00CA2C7A">
        <w:rPr>
          <w:sz w:val="22"/>
          <w:szCs w:val="22"/>
        </w:rPr>
        <w:t xml:space="preserve"> (which was incorporated towards the end of the period into the national telehealth service)</w:t>
      </w:r>
    </w:p>
    <w:p w:rsidR="00573409" w:rsidRDefault="00573409" w:rsidP="00E512D1">
      <w:pPr>
        <w:numPr>
          <w:ilvl w:val="0"/>
          <w:numId w:val="13"/>
        </w:numPr>
        <w:spacing w:before="120"/>
        <w:ind w:left="993" w:hanging="426"/>
        <w:rPr>
          <w:sz w:val="22"/>
          <w:szCs w:val="22"/>
        </w:rPr>
      </w:pPr>
      <w:r>
        <w:rPr>
          <w:sz w:val="22"/>
          <w:szCs w:val="22"/>
        </w:rPr>
        <w:t>an Asian Gambling Hotline</w:t>
      </w:r>
    </w:p>
    <w:p w:rsidR="008A0ECD" w:rsidRDefault="00772A70" w:rsidP="00E512D1">
      <w:pPr>
        <w:numPr>
          <w:ilvl w:val="0"/>
          <w:numId w:val="13"/>
        </w:numPr>
        <w:spacing w:before="120"/>
        <w:ind w:left="993" w:hanging="426"/>
        <w:rPr>
          <w:sz w:val="22"/>
          <w:szCs w:val="22"/>
        </w:rPr>
      </w:pPr>
      <w:r>
        <w:rPr>
          <w:sz w:val="22"/>
          <w:szCs w:val="22"/>
        </w:rPr>
        <w:t>public health and intervention workforce development and training</w:t>
      </w:r>
    </w:p>
    <w:p w:rsidR="00573409" w:rsidRDefault="008A0ECD" w:rsidP="00E512D1">
      <w:pPr>
        <w:numPr>
          <w:ilvl w:val="0"/>
          <w:numId w:val="13"/>
        </w:numPr>
        <w:spacing w:before="120"/>
        <w:ind w:left="993" w:hanging="426"/>
        <w:rPr>
          <w:sz w:val="22"/>
          <w:szCs w:val="22"/>
        </w:rPr>
      </w:pPr>
      <w:r>
        <w:rPr>
          <w:sz w:val="22"/>
          <w:szCs w:val="22"/>
        </w:rPr>
        <w:t>audits of public health and intervention services</w:t>
      </w:r>
    </w:p>
    <w:p w:rsidR="00EC6119" w:rsidRDefault="00573409" w:rsidP="00E512D1">
      <w:pPr>
        <w:numPr>
          <w:ilvl w:val="0"/>
          <w:numId w:val="13"/>
        </w:numPr>
        <w:spacing w:before="120"/>
        <w:ind w:left="993" w:hanging="426"/>
        <w:rPr>
          <w:sz w:val="22"/>
          <w:szCs w:val="22"/>
        </w:rPr>
      </w:pPr>
      <w:r>
        <w:rPr>
          <w:sz w:val="22"/>
          <w:szCs w:val="22"/>
        </w:rPr>
        <w:t>data collection and reporting</w:t>
      </w:r>
    </w:p>
    <w:p w:rsidR="00EC6119" w:rsidRDefault="00EC6119" w:rsidP="00E512D1">
      <w:pPr>
        <w:numPr>
          <w:ilvl w:val="0"/>
          <w:numId w:val="13"/>
        </w:numPr>
        <w:spacing w:before="120"/>
        <w:ind w:left="993" w:hanging="426"/>
        <w:rPr>
          <w:sz w:val="22"/>
          <w:szCs w:val="22"/>
        </w:rPr>
      </w:pPr>
      <w:r>
        <w:rPr>
          <w:sz w:val="22"/>
          <w:szCs w:val="22"/>
        </w:rPr>
        <w:t>a research and evaluation programme following an agenda for the 2010/11 to 2015/16 six-year period that was developed after extensive stakeholder consultation</w:t>
      </w:r>
    </w:p>
    <w:p w:rsidR="00772A70" w:rsidRDefault="00EC6119" w:rsidP="00E512D1">
      <w:pPr>
        <w:numPr>
          <w:ilvl w:val="0"/>
          <w:numId w:val="13"/>
        </w:numPr>
        <w:spacing w:before="120"/>
        <w:ind w:left="993" w:hanging="426"/>
        <w:rPr>
          <w:sz w:val="22"/>
          <w:szCs w:val="22"/>
        </w:rPr>
      </w:pPr>
      <w:r>
        <w:rPr>
          <w:sz w:val="22"/>
          <w:szCs w:val="22"/>
        </w:rPr>
        <w:t>the Ministry’s operating costs</w:t>
      </w:r>
      <w:r w:rsidR="00772A70">
        <w:rPr>
          <w:sz w:val="22"/>
          <w:szCs w:val="22"/>
        </w:rPr>
        <w:t>.</w:t>
      </w:r>
    </w:p>
    <w:p w:rsidR="00EC6119" w:rsidRDefault="00EC6119" w:rsidP="00E512D1">
      <w:pPr>
        <w:rPr>
          <w:sz w:val="22"/>
          <w:szCs w:val="22"/>
        </w:rPr>
      </w:pPr>
    </w:p>
    <w:p w:rsidR="0033558B" w:rsidRPr="00E512D1" w:rsidRDefault="00EC6119" w:rsidP="00496B20">
      <w:pPr>
        <w:keepLines/>
        <w:numPr>
          <w:ilvl w:val="0"/>
          <w:numId w:val="41"/>
        </w:numPr>
        <w:ind w:left="567" w:hanging="567"/>
        <w:rPr>
          <w:sz w:val="22"/>
          <w:szCs w:val="22"/>
        </w:rPr>
      </w:pPr>
      <w:r>
        <w:rPr>
          <w:sz w:val="22"/>
          <w:szCs w:val="22"/>
        </w:rPr>
        <w:t xml:space="preserve">The services purchased by the Ministry </w:t>
      </w:r>
      <w:r w:rsidR="00E512D1">
        <w:rPr>
          <w:sz w:val="22"/>
          <w:szCs w:val="22"/>
        </w:rPr>
        <w:t>in the period to 30 June 2016</w:t>
      </w:r>
      <w:r w:rsidR="003D5EED">
        <w:rPr>
          <w:sz w:val="22"/>
          <w:szCs w:val="22"/>
        </w:rPr>
        <w:t xml:space="preserve"> </w:t>
      </w:r>
      <w:r>
        <w:rPr>
          <w:sz w:val="22"/>
          <w:szCs w:val="22"/>
        </w:rPr>
        <w:t xml:space="preserve">incorporate all the elements that the Act requires of the integrated problem gambling strategy focused on public health. </w:t>
      </w:r>
      <w:r w:rsidR="00E512D1">
        <w:rPr>
          <w:sz w:val="22"/>
          <w:szCs w:val="22"/>
        </w:rPr>
        <w:t xml:space="preserve"> </w:t>
      </w:r>
      <w:r>
        <w:rPr>
          <w:sz w:val="22"/>
          <w:szCs w:val="22"/>
        </w:rPr>
        <w:t xml:space="preserve">Dedicated </w:t>
      </w:r>
      <w:r w:rsidRPr="0028081A">
        <w:rPr>
          <w:sz w:val="22"/>
          <w:szCs w:val="22"/>
        </w:rPr>
        <w:t>Māori</w:t>
      </w:r>
      <w:r>
        <w:rPr>
          <w:sz w:val="22"/>
          <w:szCs w:val="22"/>
        </w:rPr>
        <w:t>, Pacific and Asian services are provided to ensure appropriate access and services for these vulnerable population groups.</w:t>
      </w:r>
      <w:r w:rsidR="00C57D4A">
        <w:rPr>
          <w:sz w:val="22"/>
          <w:szCs w:val="22"/>
        </w:rPr>
        <w:t xml:space="preserve"> </w:t>
      </w:r>
      <w:bookmarkStart w:id="26" w:name="_Toc259613864"/>
    </w:p>
    <w:p w:rsidR="009F2D15" w:rsidRPr="00777DF0" w:rsidRDefault="007A60CD" w:rsidP="00BA2DF5">
      <w:pPr>
        <w:pStyle w:val="Heading1"/>
        <w:ind w:left="0" w:firstLine="0"/>
      </w:pPr>
      <w:r>
        <w:br w:type="page"/>
      </w:r>
      <w:bookmarkStart w:id="27" w:name="_Toc440029217"/>
      <w:r w:rsidR="009F2D15" w:rsidRPr="00777DF0">
        <w:lastRenderedPageBreak/>
        <w:t>Objectives</w:t>
      </w:r>
      <w:bookmarkEnd w:id="26"/>
      <w:bookmarkEnd w:id="27"/>
    </w:p>
    <w:p w:rsidR="009208DF" w:rsidRDefault="00915E93" w:rsidP="00915E93">
      <w:pPr>
        <w:pStyle w:val="Heading2"/>
      </w:pPr>
      <w:bookmarkStart w:id="28" w:name="_Toc440029218"/>
      <w:r>
        <w:t>Immediate objectives</w:t>
      </w:r>
      <w:bookmarkEnd w:id="28"/>
    </w:p>
    <w:p w:rsidR="00B07978" w:rsidRDefault="006A27CE" w:rsidP="00E346D9">
      <w:pPr>
        <w:numPr>
          <w:ilvl w:val="0"/>
          <w:numId w:val="41"/>
        </w:numPr>
        <w:ind w:left="567" w:hanging="567"/>
        <w:rPr>
          <w:sz w:val="22"/>
          <w:szCs w:val="22"/>
        </w:rPr>
      </w:pPr>
      <w:r>
        <w:rPr>
          <w:sz w:val="22"/>
          <w:szCs w:val="22"/>
        </w:rPr>
        <w:t xml:space="preserve">One </w:t>
      </w:r>
      <w:r w:rsidR="000B708E">
        <w:rPr>
          <w:sz w:val="22"/>
          <w:szCs w:val="22"/>
        </w:rPr>
        <w:t>immediate objective</w:t>
      </w:r>
      <w:r w:rsidR="00B07978">
        <w:rPr>
          <w:sz w:val="22"/>
          <w:szCs w:val="22"/>
        </w:rPr>
        <w:t xml:space="preserve"> of the proposals that are the subject of this Regulatory Impact Statement </w:t>
      </w:r>
      <w:r>
        <w:rPr>
          <w:sz w:val="22"/>
          <w:szCs w:val="22"/>
        </w:rPr>
        <w:t>is</w:t>
      </w:r>
      <w:r w:rsidR="00B07978">
        <w:rPr>
          <w:sz w:val="22"/>
          <w:szCs w:val="22"/>
        </w:rPr>
        <w:t xml:space="preserve"> to</w:t>
      </w:r>
      <w:r w:rsidR="008B5ED8">
        <w:rPr>
          <w:sz w:val="22"/>
          <w:szCs w:val="22"/>
        </w:rPr>
        <w:t xml:space="preserve"> determine whether to </w:t>
      </w:r>
      <w:r w:rsidR="008C7ADB">
        <w:rPr>
          <w:sz w:val="22"/>
          <w:szCs w:val="22"/>
        </w:rPr>
        <w:t xml:space="preserve">refresh the </w:t>
      </w:r>
      <w:r w:rsidR="00E346D9">
        <w:rPr>
          <w:sz w:val="22"/>
          <w:szCs w:val="22"/>
        </w:rPr>
        <w:t>S</w:t>
      </w:r>
      <w:r w:rsidR="008C7ADB">
        <w:rPr>
          <w:sz w:val="22"/>
          <w:szCs w:val="22"/>
        </w:rPr>
        <w:t xml:space="preserve">trategy </w:t>
      </w:r>
      <w:r w:rsidR="00E346D9">
        <w:rPr>
          <w:sz w:val="22"/>
          <w:szCs w:val="22"/>
        </w:rPr>
        <w:t xml:space="preserve">to Prevent and Minimise Gambling Harm </w:t>
      </w:r>
      <w:r w:rsidR="008C7ADB">
        <w:rPr>
          <w:sz w:val="22"/>
          <w:szCs w:val="22"/>
        </w:rPr>
        <w:t>and put in place a new levy</w:t>
      </w:r>
      <w:r w:rsidR="00742985" w:rsidRPr="00742985">
        <w:rPr>
          <w:sz w:val="22"/>
          <w:szCs w:val="22"/>
        </w:rPr>
        <w:t xml:space="preserve"> </w:t>
      </w:r>
      <w:r w:rsidR="00742985">
        <w:rPr>
          <w:sz w:val="22"/>
          <w:szCs w:val="22"/>
        </w:rPr>
        <w:t>for 2016/17 to 2018/19</w:t>
      </w:r>
      <w:r>
        <w:rPr>
          <w:sz w:val="22"/>
          <w:szCs w:val="22"/>
        </w:rPr>
        <w:t>. I</w:t>
      </w:r>
      <w:r w:rsidR="008B5ED8">
        <w:rPr>
          <w:sz w:val="22"/>
          <w:szCs w:val="22"/>
        </w:rPr>
        <w:t xml:space="preserve">f </w:t>
      </w:r>
      <w:r w:rsidR="00E43A27">
        <w:rPr>
          <w:sz w:val="22"/>
          <w:szCs w:val="22"/>
        </w:rPr>
        <w:t>there is to be a refreshed Strategy and a new levy</w:t>
      </w:r>
      <w:r w:rsidR="008B5ED8">
        <w:rPr>
          <w:sz w:val="22"/>
          <w:szCs w:val="22"/>
        </w:rPr>
        <w:t xml:space="preserve">, </w:t>
      </w:r>
      <w:r>
        <w:rPr>
          <w:sz w:val="22"/>
          <w:szCs w:val="22"/>
        </w:rPr>
        <w:t xml:space="preserve">other immediate objectives are </w:t>
      </w:r>
      <w:r w:rsidR="008B5ED8">
        <w:rPr>
          <w:sz w:val="22"/>
          <w:szCs w:val="22"/>
        </w:rPr>
        <w:t>to</w:t>
      </w:r>
      <w:r w:rsidR="00A5384C">
        <w:rPr>
          <w:sz w:val="22"/>
          <w:szCs w:val="22"/>
        </w:rPr>
        <w:t xml:space="preserve"> </w:t>
      </w:r>
      <w:r w:rsidR="00AD0BFD">
        <w:rPr>
          <w:sz w:val="22"/>
          <w:szCs w:val="22"/>
        </w:rPr>
        <w:t>decide</w:t>
      </w:r>
      <w:r w:rsidR="00A5384C">
        <w:rPr>
          <w:sz w:val="22"/>
          <w:szCs w:val="22"/>
        </w:rPr>
        <w:t xml:space="preserve"> </w:t>
      </w:r>
      <w:r w:rsidR="00B07978">
        <w:rPr>
          <w:sz w:val="22"/>
          <w:szCs w:val="22"/>
        </w:rPr>
        <w:t xml:space="preserve">: </w:t>
      </w:r>
    </w:p>
    <w:p w:rsidR="00AD0BFD" w:rsidRDefault="00AD0BFD" w:rsidP="00AD0BFD">
      <w:pPr>
        <w:numPr>
          <w:ilvl w:val="0"/>
          <w:numId w:val="13"/>
        </w:numPr>
        <w:spacing w:before="120"/>
        <w:ind w:left="993" w:hanging="426"/>
        <w:rPr>
          <w:sz w:val="22"/>
          <w:szCs w:val="22"/>
        </w:rPr>
      </w:pPr>
      <w:r>
        <w:rPr>
          <w:sz w:val="22"/>
          <w:szCs w:val="22"/>
        </w:rPr>
        <w:t xml:space="preserve">the amount to be appropriated to the Ministry </w:t>
      </w:r>
      <w:r w:rsidR="00742985">
        <w:rPr>
          <w:sz w:val="22"/>
          <w:szCs w:val="22"/>
        </w:rPr>
        <w:t>for its Strategy</w:t>
      </w:r>
    </w:p>
    <w:p w:rsidR="00AD0BFD" w:rsidRDefault="008C7ADB" w:rsidP="00AD0BFD">
      <w:pPr>
        <w:numPr>
          <w:ilvl w:val="0"/>
          <w:numId w:val="13"/>
        </w:numPr>
        <w:spacing w:before="120"/>
        <w:ind w:left="993" w:hanging="426"/>
        <w:rPr>
          <w:sz w:val="22"/>
          <w:szCs w:val="22"/>
        </w:rPr>
      </w:pPr>
      <w:r>
        <w:rPr>
          <w:sz w:val="22"/>
          <w:szCs w:val="22"/>
        </w:rPr>
        <w:t>which gambling sectors will pay the levy</w:t>
      </w:r>
    </w:p>
    <w:p w:rsidR="00AD0BFD" w:rsidRDefault="00AD0BFD" w:rsidP="00AD0BFD">
      <w:pPr>
        <w:numPr>
          <w:ilvl w:val="0"/>
          <w:numId w:val="13"/>
        </w:numPr>
        <w:spacing w:before="120"/>
        <w:ind w:left="993" w:hanging="426"/>
        <w:rPr>
          <w:sz w:val="22"/>
          <w:szCs w:val="22"/>
        </w:rPr>
      </w:pPr>
      <w:r>
        <w:rPr>
          <w:sz w:val="22"/>
          <w:szCs w:val="22"/>
        </w:rPr>
        <w:t>the weighting</w:t>
      </w:r>
      <w:r w:rsidR="008C7ADB">
        <w:rPr>
          <w:sz w:val="22"/>
          <w:szCs w:val="22"/>
        </w:rPr>
        <w:t xml:space="preserve"> between help-seeking and expenditure</w:t>
      </w:r>
      <w:r>
        <w:rPr>
          <w:sz w:val="22"/>
          <w:szCs w:val="22"/>
        </w:rPr>
        <w:t xml:space="preserve"> to use in </w:t>
      </w:r>
      <w:r w:rsidR="008C7ADB">
        <w:rPr>
          <w:sz w:val="22"/>
          <w:szCs w:val="22"/>
        </w:rPr>
        <w:t>the Act’s</w:t>
      </w:r>
      <w:r>
        <w:rPr>
          <w:sz w:val="22"/>
          <w:szCs w:val="22"/>
        </w:rPr>
        <w:t xml:space="preserve"> formula </w:t>
      </w:r>
      <w:r w:rsidR="008C7ADB">
        <w:rPr>
          <w:sz w:val="22"/>
          <w:szCs w:val="22"/>
        </w:rPr>
        <w:t>for calculating each sector’s levy rate</w:t>
      </w:r>
      <w:r>
        <w:rPr>
          <w:sz w:val="22"/>
          <w:szCs w:val="22"/>
        </w:rPr>
        <w:t>.</w:t>
      </w:r>
    </w:p>
    <w:p w:rsidR="00B07978" w:rsidRDefault="00B07978" w:rsidP="002A433B">
      <w:pPr>
        <w:rPr>
          <w:sz w:val="22"/>
          <w:szCs w:val="22"/>
        </w:rPr>
      </w:pPr>
    </w:p>
    <w:p w:rsidR="00915E93" w:rsidRDefault="00915E93" w:rsidP="00915E93">
      <w:pPr>
        <w:pStyle w:val="Heading2"/>
      </w:pPr>
      <w:bookmarkStart w:id="29" w:name="_Toc440029219"/>
      <w:r>
        <w:t>Strategic objectives</w:t>
      </w:r>
      <w:bookmarkEnd w:id="29"/>
    </w:p>
    <w:p w:rsidR="00E43A27" w:rsidRPr="00E43A27" w:rsidRDefault="000B708E" w:rsidP="00E43A27">
      <w:pPr>
        <w:keepLines/>
        <w:numPr>
          <w:ilvl w:val="0"/>
          <w:numId w:val="41"/>
        </w:numPr>
        <w:ind w:left="567" w:hanging="567"/>
        <w:rPr>
          <w:sz w:val="22"/>
          <w:szCs w:val="22"/>
        </w:rPr>
      </w:pPr>
      <w:r w:rsidRPr="00E43A27">
        <w:rPr>
          <w:sz w:val="22"/>
          <w:szCs w:val="22"/>
        </w:rPr>
        <w:t xml:space="preserve">If </w:t>
      </w:r>
      <w:r w:rsidR="00E346D9" w:rsidRPr="00E43A27">
        <w:rPr>
          <w:sz w:val="22"/>
          <w:szCs w:val="22"/>
        </w:rPr>
        <w:t>the costs of the</w:t>
      </w:r>
      <w:r w:rsidRPr="00E43A27">
        <w:rPr>
          <w:sz w:val="22"/>
          <w:szCs w:val="22"/>
        </w:rPr>
        <w:t xml:space="preserve"> </w:t>
      </w:r>
      <w:r w:rsidR="008C7ADB" w:rsidRPr="00E43A27">
        <w:rPr>
          <w:sz w:val="22"/>
          <w:szCs w:val="22"/>
        </w:rPr>
        <w:t>Strategy to Prevent and Minimise Gambling Harm</w:t>
      </w:r>
      <w:r w:rsidR="007E2F44" w:rsidRPr="00E43A27">
        <w:rPr>
          <w:sz w:val="22"/>
          <w:szCs w:val="22"/>
        </w:rPr>
        <w:t xml:space="preserve"> </w:t>
      </w:r>
      <w:r w:rsidR="00E43A27" w:rsidRPr="00E43A27">
        <w:rPr>
          <w:sz w:val="22"/>
          <w:szCs w:val="22"/>
        </w:rPr>
        <w:t xml:space="preserve">for 2016/17 to 2018/19 </w:t>
      </w:r>
      <w:r w:rsidR="007E2F44" w:rsidRPr="00E43A27">
        <w:rPr>
          <w:sz w:val="22"/>
          <w:szCs w:val="22"/>
        </w:rPr>
        <w:t>are</w:t>
      </w:r>
      <w:r w:rsidR="00E346D9" w:rsidRPr="00E43A27">
        <w:rPr>
          <w:sz w:val="22"/>
          <w:szCs w:val="22"/>
        </w:rPr>
        <w:t xml:space="preserve"> to be </w:t>
      </w:r>
      <w:r w:rsidRPr="00E43A27">
        <w:rPr>
          <w:sz w:val="22"/>
          <w:szCs w:val="22"/>
        </w:rPr>
        <w:t xml:space="preserve">recovered by </w:t>
      </w:r>
      <w:r w:rsidR="007E2F44" w:rsidRPr="00E43A27">
        <w:rPr>
          <w:sz w:val="22"/>
          <w:szCs w:val="22"/>
        </w:rPr>
        <w:t xml:space="preserve">way of </w:t>
      </w:r>
      <w:r w:rsidRPr="00E43A27">
        <w:rPr>
          <w:sz w:val="22"/>
          <w:szCs w:val="22"/>
        </w:rPr>
        <w:t xml:space="preserve">the levy, </w:t>
      </w:r>
      <w:r w:rsidR="002562F1">
        <w:rPr>
          <w:sz w:val="22"/>
          <w:szCs w:val="22"/>
        </w:rPr>
        <w:t xml:space="preserve">the Strategy </w:t>
      </w:r>
      <w:r w:rsidR="00AC595C" w:rsidRPr="00E43A27">
        <w:rPr>
          <w:sz w:val="22"/>
          <w:szCs w:val="22"/>
        </w:rPr>
        <w:t>must include all the elements that the Act requires of the integrated problem gambling strategy focused on public health</w:t>
      </w:r>
      <w:r w:rsidR="006A27CE" w:rsidRPr="00E43A27">
        <w:rPr>
          <w:sz w:val="22"/>
          <w:szCs w:val="22"/>
        </w:rPr>
        <w:t xml:space="preserve">. </w:t>
      </w:r>
      <w:r w:rsidR="00E346D9" w:rsidRPr="00E43A27">
        <w:rPr>
          <w:sz w:val="22"/>
          <w:szCs w:val="22"/>
        </w:rPr>
        <w:t xml:space="preserve"> The </w:t>
      </w:r>
      <w:r w:rsidR="00E43A27" w:rsidRPr="00E43A27">
        <w:rPr>
          <w:sz w:val="22"/>
          <w:szCs w:val="22"/>
        </w:rPr>
        <w:t xml:space="preserve">proposed </w:t>
      </w:r>
      <w:r w:rsidR="00E346D9" w:rsidRPr="00E43A27">
        <w:rPr>
          <w:sz w:val="22"/>
          <w:szCs w:val="22"/>
        </w:rPr>
        <w:t xml:space="preserve">Strategy </w:t>
      </w:r>
      <w:r w:rsidR="00E43A27">
        <w:rPr>
          <w:sz w:val="22"/>
          <w:szCs w:val="22"/>
        </w:rPr>
        <w:t>is founded</w:t>
      </w:r>
      <w:r w:rsidR="00E43A27" w:rsidRPr="00E43A27">
        <w:rPr>
          <w:sz w:val="22"/>
          <w:szCs w:val="22"/>
        </w:rPr>
        <w:t xml:space="preserve"> </w:t>
      </w:r>
      <w:r w:rsidR="00742985">
        <w:rPr>
          <w:sz w:val="22"/>
          <w:szCs w:val="22"/>
        </w:rPr>
        <w:t xml:space="preserve">on </w:t>
      </w:r>
      <w:r w:rsidR="00E346D9" w:rsidRPr="00E43A27">
        <w:rPr>
          <w:sz w:val="22"/>
          <w:szCs w:val="22"/>
        </w:rPr>
        <w:t>those elements</w:t>
      </w:r>
      <w:r w:rsidR="00E43A27" w:rsidRPr="00E43A27">
        <w:rPr>
          <w:sz w:val="22"/>
          <w:szCs w:val="22"/>
        </w:rPr>
        <w:t>, and refines and builds on the Ministry’s two previous six-year strategic plans and four previous three-year service plans.</w:t>
      </w:r>
    </w:p>
    <w:p w:rsidR="00E43A27" w:rsidRDefault="00E43A27" w:rsidP="00E43A27">
      <w:pPr>
        <w:rPr>
          <w:sz w:val="22"/>
          <w:szCs w:val="22"/>
        </w:rPr>
      </w:pPr>
    </w:p>
    <w:p w:rsidR="009F2D15" w:rsidRPr="0028081A" w:rsidRDefault="006A27CE" w:rsidP="00E346D9">
      <w:pPr>
        <w:numPr>
          <w:ilvl w:val="0"/>
          <w:numId w:val="41"/>
        </w:numPr>
        <w:ind w:left="567" w:hanging="567"/>
        <w:rPr>
          <w:sz w:val="22"/>
          <w:szCs w:val="22"/>
        </w:rPr>
      </w:pPr>
      <w:r>
        <w:rPr>
          <w:sz w:val="22"/>
          <w:szCs w:val="22"/>
        </w:rPr>
        <w:t xml:space="preserve">The Ministry is committed to a long-term approach that has not significantly changed since its </w:t>
      </w:r>
      <w:r w:rsidR="00E5538E">
        <w:rPr>
          <w:sz w:val="22"/>
          <w:szCs w:val="22"/>
        </w:rPr>
        <w:t>first six-</w:t>
      </w:r>
      <w:r>
        <w:rPr>
          <w:sz w:val="22"/>
          <w:szCs w:val="22"/>
        </w:rPr>
        <w:t>year strategic plan was developed in 2004.</w:t>
      </w:r>
      <w:r w:rsidR="00AC595C">
        <w:rPr>
          <w:sz w:val="22"/>
          <w:szCs w:val="22"/>
        </w:rPr>
        <w:t xml:space="preserve"> </w:t>
      </w:r>
      <w:r w:rsidR="009F2D15" w:rsidRPr="0028081A">
        <w:rPr>
          <w:sz w:val="22"/>
          <w:szCs w:val="22"/>
        </w:rPr>
        <w:t xml:space="preserve">The overall goal of </w:t>
      </w:r>
      <w:r>
        <w:rPr>
          <w:sz w:val="22"/>
          <w:szCs w:val="22"/>
        </w:rPr>
        <w:t>that approach</w:t>
      </w:r>
      <w:r w:rsidR="009F2D15" w:rsidRPr="0028081A">
        <w:rPr>
          <w:sz w:val="22"/>
          <w:szCs w:val="22"/>
        </w:rPr>
        <w:t xml:space="preserve"> is:</w:t>
      </w:r>
    </w:p>
    <w:p w:rsidR="009F2D15" w:rsidRPr="0028081A" w:rsidRDefault="009F2D15" w:rsidP="00E346D9">
      <w:pPr>
        <w:pStyle w:val="Quote"/>
        <w:ind w:left="851"/>
        <w:rPr>
          <w:sz w:val="22"/>
          <w:szCs w:val="22"/>
        </w:rPr>
      </w:pPr>
      <w:r w:rsidRPr="0028081A">
        <w:rPr>
          <w:sz w:val="22"/>
          <w:szCs w:val="22"/>
        </w:rPr>
        <w:t xml:space="preserve">Government, </w:t>
      </w:r>
      <w:r w:rsidR="00E346D9">
        <w:rPr>
          <w:sz w:val="22"/>
          <w:szCs w:val="22"/>
        </w:rPr>
        <w:t xml:space="preserve">the </w:t>
      </w:r>
      <w:r w:rsidRPr="0028081A">
        <w:rPr>
          <w:sz w:val="22"/>
          <w:szCs w:val="22"/>
        </w:rPr>
        <w:t xml:space="preserve">gambling </w:t>
      </w:r>
      <w:r w:rsidR="00E346D9">
        <w:rPr>
          <w:sz w:val="22"/>
          <w:szCs w:val="22"/>
        </w:rPr>
        <w:t>sector</w:t>
      </w:r>
      <w:r w:rsidRPr="0028081A">
        <w:rPr>
          <w:sz w:val="22"/>
          <w:szCs w:val="22"/>
        </w:rPr>
        <w:t xml:space="preserve">, communities and families/whānau working together to prevent </w:t>
      </w:r>
      <w:r w:rsidR="00E346D9">
        <w:rPr>
          <w:sz w:val="22"/>
          <w:szCs w:val="22"/>
        </w:rPr>
        <w:t>and minimise gambling harm,</w:t>
      </w:r>
      <w:r w:rsidRPr="0028081A">
        <w:rPr>
          <w:sz w:val="22"/>
          <w:szCs w:val="22"/>
        </w:rPr>
        <w:t xml:space="preserve"> and to reduce </w:t>
      </w:r>
      <w:r w:rsidR="00E346D9">
        <w:rPr>
          <w:sz w:val="22"/>
          <w:szCs w:val="22"/>
        </w:rPr>
        <w:t>related health inequities</w:t>
      </w:r>
      <w:r w:rsidRPr="0028081A">
        <w:rPr>
          <w:sz w:val="22"/>
          <w:szCs w:val="22"/>
        </w:rPr>
        <w:t>.</w:t>
      </w:r>
    </w:p>
    <w:p w:rsidR="002A433B" w:rsidRPr="0028081A" w:rsidRDefault="002A433B" w:rsidP="00E346D9">
      <w:pPr>
        <w:rPr>
          <w:sz w:val="22"/>
          <w:szCs w:val="22"/>
        </w:rPr>
      </w:pPr>
    </w:p>
    <w:p w:rsidR="0028081A" w:rsidRPr="0028081A" w:rsidRDefault="0028081A" w:rsidP="00E346D9">
      <w:pPr>
        <w:numPr>
          <w:ilvl w:val="0"/>
          <w:numId w:val="41"/>
        </w:numPr>
        <w:ind w:left="567" w:hanging="567"/>
        <w:rPr>
          <w:sz w:val="22"/>
          <w:szCs w:val="22"/>
        </w:rPr>
      </w:pPr>
      <w:r w:rsidRPr="0028081A">
        <w:rPr>
          <w:sz w:val="22"/>
          <w:szCs w:val="22"/>
        </w:rPr>
        <w:t>A number of key principles underpin</w:t>
      </w:r>
      <w:r w:rsidR="00E346D9">
        <w:rPr>
          <w:sz w:val="22"/>
          <w:szCs w:val="22"/>
        </w:rPr>
        <w:t>ned</w:t>
      </w:r>
      <w:r w:rsidRPr="0028081A">
        <w:rPr>
          <w:sz w:val="22"/>
          <w:szCs w:val="22"/>
        </w:rPr>
        <w:t xml:space="preserve"> the six-year strategic plan </w:t>
      </w:r>
      <w:r w:rsidR="00F10336">
        <w:rPr>
          <w:sz w:val="22"/>
          <w:szCs w:val="22"/>
        </w:rPr>
        <w:t>(</w:t>
      </w:r>
      <w:r w:rsidR="00D11F8C">
        <w:rPr>
          <w:sz w:val="22"/>
          <w:szCs w:val="22"/>
        </w:rPr>
        <w:t>for 2010/11 to 2015/16</w:t>
      </w:r>
      <w:r w:rsidR="00F10336">
        <w:rPr>
          <w:sz w:val="22"/>
          <w:szCs w:val="22"/>
        </w:rPr>
        <w:t>)</w:t>
      </w:r>
      <w:r w:rsidR="00D11F8C">
        <w:rPr>
          <w:sz w:val="22"/>
          <w:szCs w:val="22"/>
        </w:rPr>
        <w:t xml:space="preserve"> that </w:t>
      </w:r>
      <w:r w:rsidR="00E346D9">
        <w:rPr>
          <w:sz w:val="22"/>
          <w:szCs w:val="22"/>
        </w:rPr>
        <w:t>Cabinet approved in 2010</w:t>
      </w:r>
      <w:r w:rsidR="00D11F8C">
        <w:rPr>
          <w:sz w:val="22"/>
          <w:szCs w:val="22"/>
        </w:rPr>
        <w:t xml:space="preserve">. </w:t>
      </w:r>
      <w:r w:rsidR="003F2111">
        <w:rPr>
          <w:sz w:val="22"/>
          <w:szCs w:val="22"/>
        </w:rPr>
        <w:t xml:space="preserve"> Substantially the same principles </w:t>
      </w:r>
      <w:r w:rsidRPr="0028081A">
        <w:rPr>
          <w:sz w:val="22"/>
          <w:szCs w:val="22"/>
        </w:rPr>
        <w:t xml:space="preserve">guided the development of the </w:t>
      </w:r>
      <w:r w:rsidR="00E43A27">
        <w:rPr>
          <w:sz w:val="22"/>
          <w:szCs w:val="22"/>
        </w:rPr>
        <w:t xml:space="preserve">proposed </w:t>
      </w:r>
      <w:r w:rsidR="003F2111">
        <w:rPr>
          <w:sz w:val="22"/>
          <w:szCs w:val="22"/>
        </w:rPr>
        <w:t>Strategy to Prevent and Minimise Gambling Harm for 2016/17 to 2018/19</w:t>
      </w:r>
      <w:r w:rsidR="00E346D9">
        <w:rPr>
          <w:sz w:val="22"/>
          <w:szCs w:val="22"/>
        </w:rPr>
        <w:t>. The principles are</w:t>
      </w:r>
      <w:r w:rsidRPr="0028081A">
        <w:rPr>
          <w:sz w:val="22"/>
          <w:szCs w:val="22"/>
        </w:rPr>
        <w:t>:</w:t>
      </w:r>
    </w:p>
    <w:p w:rsidR="003F2111" w:rsidRPr="003F2111" w:rsidRDefault="003F2111" w:rsidP="003F2111">
      <w:pPr>
        <w:numPr>
          <w:ilvl w:val="0"/>
          <w:numId w:val="13"/>
        </w:numPr>
        <w:spacing w:before="120"/>
        <w:ind w:left="993" w:hanging="426"/>
        <w:rPr>
          <w:sz w:val="22"/>
          <w:szCs w:val="22"/>
        </w:rPr>
      </w:pPr>
      <w:r w:rsidRPr="003F2111">
        <w:rPr>
          <w:sz w:val="22"/>
          <w:szCs w:val="22"/>
        </w:rPr>
        <w:t>to achieve health equity</w:t>
      </w:r>
    </w:p>
    <w:p w:rsidR="003F2111" w:rsidRPr="003F2111" w:rsidRDefault="003F2111" w:rsidP="003F2111">
      <w:pPr>
        <w:numPr>
          <w:ilvl w:val="0"/>
          <w:numId w:val="13"/>
        </w:numPr>
        <w:spacing w:before="120"/>
        <w:ind w:left="993" w:hanging="426"/>
        <w:rPr>
          <w:sz w:val="22"/>
          <w:szCs w:val="22"/>
        </w:rPr>
      </w:pPr>
      <w:r w:rsidRPr="003F2111">
        <w:rPr>
          <w:sz w:val="22"/>
          <w:szCs w:val="22"/>
        </w:rPr>
        <w:t>to maintain a comprehensive range of public health services based on the World Health Organization’s Ottawa Charter for Health Promotion and New Zealand models of health (particularly Māori models, such as Te Pae Mahutonga and Te Whare Tapa Whā)</w:t>
      </w:r>
    </w:p>
    <w:p w:rsidR="003F2111" w:rsidRPr="003F2111" w:rsidRDefault="003F2111" w:rsidP="003F2111">
      <w:pPr>
        <w:numPr>
          <w:ilvl w:val="0"/>
          <w:numId w:val="13"/>
        </w:numPr>
        <w:spacing w:before="120"/>
        <w:ind w:left="993" w:hanging="426"/>
        <w:rPr>
          <w:sz w:val="22"/>
          <w:szCs w:val="22"/>
        </w:rPr>
      </w:pPr>
      <w:r w:rsidRPr="003F2111">
        <w:rPr>
          <w:sz w:val="22"/>
          <w:szCs w:val="22"/>
        </w:rPr>
        <w:t>to fund services that prevent and minimise gambling harm for priority populations</w:t>
      </w:r>
    </w:p>
    <w:p w:rsidR="003F2111" w:rsidRPr="003F2111" w:rsidRDefault="003F2111" w:rsidP="003F2111">
      <w:pPr>
        <w:numPr>
          <w:ilvl w:val="0"/>
          <w:numId w:val="13"/>
        </w:numPr>
        <w:spacing w:before="120"/>
        <w:ind w:left="993" w:hanging="426"/>
        <w:rPr>
          <w:sz w:val="22"/>
          <w:szCs w:val="22"/>
        </w:rPr>
      </w:pPr>
      <w:r w:rsidRPr="003F2111">
        <w:rPr>
          <w:sz w:val="22"/>
          <w:szCs w:val="22"/>
        </w:rPr>
        <w:t>to ensure culturally accessible and responsive services</w:t>
      </w:r>
    </w:p>
    <w:p w:rsidR="003F2111" w:rsidRPr="003F2111" w:rsidRDefault="003F2111" w:rsidP="003F2111">
      <w:pPr>
        <w:numPr>
          <w:ilvl w:val="0"/>
          <w:numId w:val="13"/>
        </w:numPr>
        <w:spacing w:before="120"/>
        <w:ind w:left="993" w:hanging="426"/>
        <w:rPr>
          <w:sz w:val="22"/>
          <w:szCs w:val="22"/>
        </w:rPr>
      </w:pPr>
      <w:r w:rsidRPr="003F2111">
        <w:rPr>
          <w:sz w:val="22"/>
          <w:szCs w:val="22"/>
        </w:rPr>
        <w:t>to ensure links between public health and intervention services</w:t>
      </w:r>
    </w:p>
    <w:p w:rsidR="003F2111" w:rsidRPr="003F2111" w:rsidRDefault="003F2111" w:rsidP="003F2111">
      <w:pPr>
        <w:numPr>
          <w:ilvl w:val="0"/>
          <w:numId w:val="13"/>
        </w:numPr>
        <w:spacing w:before="120"/>
        <w:ind w:left="993" w:hanging="426"/>
        <w:rPr>
          <w:sz w:val="22"/>
          <w:szCs w:val="22"/>
        </w:rPr>
      </w:pPr>
      <w:r w:rsidRPr="003F2111">
        <w:rPr>
          <w:sz w:val="22"/>
          <w:szCs w:val="22"/>
        </w:rPr>
        <w:t>to maintain a focus on healthy futures for Māori</w:t>
      </w:r>
    </w:p>
    <w:p w:rsidR="003F2111" w:rsidRPr="003F2111" w:rsidRDefault="003F2111" w:rsidP="003F2111">
      <w:pPr>
        <w:numPr>
          <w:ilvl w:val="0"/>
          <w:numId w:val="13"/>
        </w:numPr>
        <w:spacing w:before="120"/>
        <w:ind w:left="993" w:hanging="426"/>
        <w:rPr>
          <w:sz w:val="22"/>
          <w:szCs w:val="22"/>
        </w:rPr>
      </w:pPr>
      <w:r w:rsidRPr="003F2111">
        <w:rPr>
          <w:sz w:val="22"/>
          <w:szCs w:val="22"/>
        </w:rPr>
        <w:t>to maintain a focus on improving health outcomes for Pacific peoples</w:t>
      </w:r>
    </w:p>
    <w:p w:rsidR="003F2111" w:rsidRPr="003F2111" w:rsidRDefault="003F2111" w:rsidP="003F2111">
      <w:pPr>
        <w:numPr>
          <w:ilvl w:val="0"/>
          <w:numId w:val="13"/>
        </w:numPr>
        <w:spacing w:before="120"/>
        <w:ind w:left="993" w:hanging="426"/>
        <w:rPr>
          <w:sz w:val="22"/>
          <w:szCs w:val="22"/>
        </w:rPr>
      </w:pPr>
      <w:r w:rsidRPr="003F2111">
        <w:rPr>
          <w:sz w:val="22"/>
          <w:szCs w:val="22"/>
        </w:rPr>
        <w:t>to ensure services are evidence-based, effective and sustainable</w:t>
      </w:r>
    </w:p>
    <w:p w:rsidR="003F2111" w:rsidRPr="003F2111" w:rsidRDefault="003F2111" w:rsidP="003F2111">
      <w:pPr>
        <w:numPr>
          <w:ilvl w:val="0"/>
          <w:numId w:val="13"/>
        </w:numPr>
        <w:spacing w:before="120"/>
        <w:ind w:left="993" w:hanging="426"/>
        <w:rPr>
          <w:sz w:val="22"/>
          <w:szCs w:val="22"/>
        </w:rPr>
      </w:pPr>
      <w:r w:rsidRPr="003F2111">
        <w:rPr>
          <w:sz w:val="22"/>
          <w:szCs w:val="22"/>
        </w:rPr>
        <w:t>to develop the workforce</w:t>
      </w:r>
    </w:p>
    <w:p w:rsidR="003F2111" w:rsidRPr="003F2111" w:rsidRDefault="003F2111" w:rsidP="003F2111">
      <w:pPr>
        <w:numPr>
          <w:ilvl w:val="0"/>
          <w:numId w:val="13"/>
        </w:numPr>
        <w:spacing w:before="120"/>
        <w:ind w:left="993" w:hanging="426"/>
        <w:rPr>
          <w:sz w:val="22"/>
          <w:szCs w:val="22"/>
        </w:rPr>
      </w:pPr>
      <w:r w:rsidRPr="003F2111">
        <w:rPr>
          <w:sz w:val="22"/>
          <w:szCs w:val="22"/>
        </w:rPr>
        <w:t>to apply an intersectoral approach</w:t>
      </w:r>
    </w:p>
    <w:p w:rsidR="003F2111" w:rsidRPr="003F2111" w:rsidRDefault="003F2111" w:rsidP="003F2111">
      <w:pPr>
        <w:numPr>
          <w:ilvl w:val="0"/>
          <w:numId w:val="13"/>
        </w:numPr>
        <w:spacing w:before="120"/>
        <w:ind w:left="993" w:hanging="426"/>
        <w:rPr>
          <w:sz w:val="22"/>
          <w:szCs w:val="22"/>
        </w:rPr>
      </w:pPr>
      <w:r w:rsidRPr="003F2111">
        <w:rPr>
          <w:sz w:val="22"/>
          <w:szCs w:val="22"/>
        </w:rPr>
        <w:t>to strengthen communities.</w:t>
      </w:r>
    </w:p>
    <w:p w:rsidR="0028081A" w:rsidRPr="0028081A" w:rsidRDefault="0028081A" w:rsidP="0028081A">
      <w:pPr>
        <w:rPr>
          <w:sz w:val="22"/>
          <w:szCs w:val="22"/>
        </w:rPr>
      </w:pPr>
    </w:p>
    <w:p w:rsidR="0028081A" w:rsidRPr="0028081A" w:rsidRDefault="003F2111" w:rsidP="00742985">
      <w:pPr>
        <w:numPr>
          <w:ilvl w:val="0"/>
          <w:numId w:val="41"/>
        </w:numPr>
        <w:ind w:left="567" w:hanging="567"/>
        <w:rPr>
          <w:sz w:val="22"/>
          <w:szCs w:val="22"/>
        </w:rPr>
      </w:pPr>
      <w:r>
        <w:rPr>
          <w:sz w:val="22"/>
          <w:szCs w:val="22"/>
        </w:rPr>
        <w:t xml:space="preserve">The proposed Strategy </w:t>
      </w:r>
      <w:r w:rsidR="002562F1">
        <w:rPr>
          <w:sz w:val="22"/>
          <w:szCs w:val="22"/>
        </w:rPr>
        <w:t xml:space="preserve">for 2016/17 to 2018/19 </w:t>
      </w:r>
      <w:r>
        <w:rPr>
          <w:sz w:val="22"/>
          <w:szCs w:val="22"/>
        </w:rPr>
        <w:t xml:space="preserve">incorporates </w:t>
      </w:r>
      <w:r w:rsidRPr="0028081A">
        <w:rPr>
          <w:sz w:val="22"/>
          <w:szCs w:val="22"/>
        </w:rPr>
        <w:t>11 objectives</w:t>
      </w:r>
      <w:r>
        <w:rPr>
          <w:sz w:val="22"/>
          <w:szCs w:val="22"/>
        </w:rPr>
        <w:t xml:space="preserve">, which again are </w:t>
      </w:r>
      <w:r w:rsidR="00E43A27">
        <w:rPr>
          <w:sz w:val="22"/>
          <w:szCs w:val="22"/>
        </w:rPr>
        <w:t>substantially</w:t>
      </w:r>
      <w:r>
        <w:rPr>
          <w:sz w:val="22"/>
          <w:szCs w:val="22"/>
        </w:rPr>
        <w:t xml:space="preserve"> unchanged from the objectives identified in the </w:t>
      </w:r>
      <w:r w:rsidR="00E43A27">
        <w:rPr>
          <w:sz w:val="22"/>
          <w:szCs w:val="22"/>
        </w:rPr>
        <w:t xml:space="preserve">six-year </w:t>
      </w:r>
      <w:r w:rsidR="0028081A" w:rsidRPr="0028081A">
        <w:rPr>
          <w:sz w:val="22"/>
          <w:szCs w:val="22"/>
        </w:rPr>
        <w:t xml:space="preserve">strategic plan </w:t>
      </w:r>
      <w:r>
        <w:rPr>
          <w:sz w:val="22"/>
          <w:szCs w:val="22"/>
        </w:rPr>
        <w:t>that Cabinet approved in 2010:</w:t>
      </w:r>
    </w:p>
    <w:p w:rsidR="003F2111" w:rsidRPr="003F2111" w:rsidRDefault="003F2111" w:rsidP="003F2111">
      <w:pPr>
        <w:numPr>
          <w:ilvl w:val="0"/>
          <w:numId w:val="13"/>
        </w:numPr>
        <w:spacing w:before="120"/>
        <w:ind w:left="993" w:hanging="426"/>
        <w:rPr>
          <w:sz w:val="22"/>
          <w:szCs w:val="22"/>
        </w:rPr>
      </w:pPr>
      <w:r w:rsidRPr="003F2111">
        <w:rPr>
          <w:sz w:val="22"/>
          <w:szCs w:val="22"/>
        </w:rPr>
        <w:t>Objective 1: There is a reduction in gambling-harm-related inequities (particularly in the inequities experienced by Māori and Pacific peoples and some segments of the Asian population, as the groups that are most vulnerable to gambling harm).</w:t>
      </w:r>
    </w:p>
    <w:p w:rsidR="003F2111" w:rsidRPr="003F2111" w:rsidRDefault="003F2111" w:rsidP="003F2111">
      <w:pPr>
        <w:numPr>
          <w:ilvl w:val="0"/>
          <w:numId w:val="13"/>
        </w:numPr>
        <w:spacing w:before="120"/>
        <w:ind w:left="993" w:hanging="426"/>
        <w:rPr>
          <w:sz w:val="22"/>
          <w:szCs w:val="22"/>
        </w:rPr>
      </w:pPr>
      <w:r w:rsidRPr="003F2111">
        <w:rPr>
          <w:sz w:val="22"/>
          <w:szCs w:val="22"/>
        </w:rPr>
        <w:t>Objective 2: Māori have healthier futures, through the prevention and minimisation of gambling harm.</w:t>
      </w:r>
    </w:p>
    <w:p w:rsidR="003F2111" w:rsidRPr="003F2111" w:rsidRDefault="003F2111" w:rsidP="003F2111">
      <w:pPr>
        <w:numPr>
          <w:ilvl w:val="0"/>
          <w:numId w:val="13"/>
        </w:numPr>
        <w:spacing w:before="120"/>
        <w:ind w:left="993" w:hanging="426"/>
        <w:rPr>
          <w:sz w:val="22"/>
          <w:szCs w:val="22"/>
        </w:rPr>
      </w:pPr>
      <w:r w:rsidRPr="003F2111">
        <w:rPr>
          <w:sz w:val="22"/>
          <w:szCs w:val="22"/>
        </w:rPr>
        <w:t>Objective 3: People participate in decision-making about activities that prevent and minimise gambling harm in their communities.</w:t>
      </w:r>
    </w:p>
    <w:p w:rsidR="003F2111" w:rsidRPr="003F2111" w:rsidRDefault="003F2111" w:rsidP="003F2111">
      <w:pPr>
        <w:numPr>
          <w:ilvl w:val="0"/>
          <w:numId w:val="13"/>
        </w:numPr>
        <w:spacing w:before="120"/>
        <w:ind w:left="993" w:hanging="426"/>
        <w:rPr>
          <w:sz w:val="22"/>
          <w:szCs w:val="22"/>
        </w:rPr>
      </w:pPr>
      <w:r w:rsidRPr="003F2111">
        <w:rPr>
          <w:sz w:val="22"/>
          <w:szCs w:val="22"/>
        </w:rPr>
        <w:t>Objective 4: Healthy policy at the national, regional and local level prevents and minimises gambling harm.</w:t>
      </w:r>
    </w:p>
    <w:p w:rsidR="003F2111" w:rsidRPr="003F2111" w:rsidRDefault="003F2111" w:rsidP="003F2111">
      <w:pPr>
        <w:numPr>
          <w:ilvl w:val="0"/>
          <w:numId w:val="13"/>
        </w:numPr>
        <w:spacing w:before="120"/>
        <w:ind w:left="993" w:hanging="426"/>
        <w:rPr>
          <w:sz w:val="22"/>
          <w:szCs w:val="22"/>
        </w:rPr>
      </w:pPr>
      <w:r w:rsidRPr="003F2111">
        <w:rPr>
          <w:sz w:val="22"/>
          <w:szCs w:val="22"/>
        </w:rPr>
        <w:t>Objective 5: Government, the gambling sector, communities, families/whānau and individuals understand and acknowledge the range of gambling harms that affect individuals, families/whānau and communities.</w:t>
      </w:r>
    </w:p>
    <w:p w:rsidR="003F2111" w:rsidRPr="003F2111" w:rsidRDefault="003F2111" w:rsidP="003F2111">
      <w:pPr>
        <w:numPr>
          <w:ilvl w:val="0"/>
          <w:numId w:val="13"/>
        </w:numPr>
        <w:spacing w:before="120"/>
        <w:ind w:left="993" w:hanging="426"/>
        <w:rPr>
          <w:sz w:val="22"/>
          <w:szCs w:val="22"/>
        </w:rPr>
      </w:pPr>
      <w:r w:rsidRPr="003F2111">
        <w:rPr>
          <w:sz w:val="22"/>
          <w:szCs w:val="22"/>
        </w:rPr>
        <w:t>Objective 6: A skilled workforce is developed to deliver effective services to prevent and minimise gambling harm.</w:t>
      </w:r>
    </w:p>
    <w:p w:rsidR="003F2111" w:rsidRPr="003F2111" w:rsidRDefault="003F2111" w:rsidP="003F2111">
      <w:pPr>
        <w:numPr>
          <w:ilvl w:val="0"/>
          <w:numId w:val="13"/>
        </w:numPr>
        <w:spacing w:before="120"/>
        <w:ind w:left="993" w:hanging="426"/>
        <w:rPr>
          <w:sz w:val="22"/>
          <w:szCs w:val="22"/>
        </w:rPr>
      </w:pPr>
      <w:r w:rsidRPr="003F2111">
        <w:rPr>
          <w:sz w:val="22"/>
          <w:szCs w:val="22"/>
        </w:rPr>
        <w:t>Objective 7: People have the life skills and the resilience to make healthy choices that prevent and minimise gambling harm.</w:t>
      </w:r>
    </w:p>
    <w:p w:rsidR="003F2111" w:rsidRPr="003F2111" w:rsidRDefault="003F2111" w:rsidP="003F2111">
      <w:pPr>
        <w:numPr>
          <w:ilvl w:val="0"/>
          <w:numId w:val="13"/>
        </w:numPr>
        <w:spacing w:before="120"/>
        <w:ind w:left="993" w:hanging="426"/>
        <w:rPr>
          <w:sz w:val="22"/>
          <w:szCs w:val="22"/>
        </w:rPr>
      </w:pPr>
      <w:r w:rsidRPr="003F2111">
        <w:rPr>
          <w:sz w:val="22"/>
          <w:szCs w:val="22"/>
        </w:rPr>
        <w:t>Objective 8: Gambling environments are designed to prevent and minimise gambling harm.</w:t>
      </w:r>
    </w:p>
    <w:p w:rsidR="003F2111" w:rsidRPr="003F2111" w:rsidRDefault="003F2111" w:rsidP="003F2111">
      <w:pPr>
        <w:numPr>
          <w:ilvl w:val="0"/>
          <w:numId w:val="13"/>
        </w:numPr>
        <w:spacing w:before="120"/>
        <w:ind w:left="993" w:hanging="426"/>
        <w:rPr>
          <w:sz w:val="22"/>
          <w:szCs w:val="22"/>
        </w:rPr>
      </w:pPr>
      <w:r w:rsidRPr="003F2111">
        <w:rPr>
          <w:sz w:val="22"/>
          <w:szCs w:val="22"/>
        </w:rPr>
        <w:t>Objective 9: Services to prevent and minimise gambling harm effectively raise awareness about the range of gambling harms that affect individuals, families/whānau and communities.</w:t>
      </w:r>
    </w:p>
    <w:p w:rsidR="003F2111" w:rsidRPr="003F2111" w:rsidRDefault="003F2111" w:rsidP="003F2111">
      <w:pPr>
        <w:numPr>
          <w:ilvl w:val="0"/>
          <w:numId w:val="13"/>
        </w:numPr>
        <w:spacing w:before="120"/>
        <w:ind w:left="993" w:hanging="426"/>
        <w:rPr>
          <w:sz w:val="22"/>
          <w:szCs w:val="22"/>
        </w:rPr>
      </w:pPr>
      <w:r w:rsidRPr="003F2111">
        <w:rPr>
          <w:sz w:val="22"/>
          <w:szCs w:val="22"/>
        </w:rPr>
        <w:t>Objective 10: Accessible, responsive and effective interventions are developed and maintained.</w:t>
      </w:r>
    </w:p>
    <w:p w:rsidR="003F2111" w:rsidRPr="003F2111" w:rsidRDefault="003F2111" w:rsidP="003F2111">
      <w:pPr>
        <w:numPr>
          <w:ilvl w:val="0"/>
          <w:numId w:val="13"/>
        </w:numPr>
        <w:spacing w:before="120"/>
        <w:ind w:left="993" w:hanging="426"/>
        <w:rPr>
          <w:sz w:val="22"/>
          <w:szCs w:val="22"/>
        </w:rPr>
      </w:pPr>
      <w:r w:rsidRPr="003F2111">
        <w:rPr>
          <w:sz w:val="22"/>
          <w:szCs w:val="22"/>
        </w:rPr>
        <w:t>Objective 11: A programme of research and evaluation establishes an evidence base that underpins all activities to prevent and minimise gambling harm.</w:t>
      </w:r>
    </w:p>
    <w:p w:rsidR="0028081A" w:rsidRPr="0028081A" w:rsidRDefault="0028081A" w:rsidP="0028081A">
      <w:pPr>
        <w:rPr>
          <w:sz w:val="22"/>
          <w:szCs w:val="22"/>
        </w:rPr>
      </w:pPr>
    </w:p>
    <w:p w:rsidR="0033558B" w:rsidRDefault="0033558B" w:rsidP="00625911">
      <w:pPr>
        <w:numPr>
          <w:ilvl w:val="0"/>
          <w:numId w:val="41"/>
        </w:numPr>
        <w:ind w:left="567" w:hanging="567"/>
        <w:rPr>
          <w:sz w:val="22"/>
          <w:szCs w:val="22"/>
        </w:rPr>
      </w:pPr>
      <w:r>
        <w:rPr>
          <w:sz w:val="22"/>
          <w:szCs w:val="22"/>
        </w:rPr>
        <w:t>An additional objective is to ensure that the amount appropriated to the Ministry is consistent with the requirement for restraint and prudence in public sector spending.</w:t>
      </w:r>
    </w:p>
    <w:p w:rsidR="0033558B" w:rsidRPr="0028081A" w:rsidRDefault="0033558B" w:rsidP="0033558B">
      <w:pPr>
        <w:rPr>
          <w:sz w:val="22"/>
          <w:szCs w:val="22"/>
        </w:rPr>
      </w:pPr>
    </w:p>
    <w:p w:rsidR="009F2D15" w:rsidRPr="00B77D78" w:rsidRDefault="00E32F6B" w:rsidP="004D5E7D">
      <w:pPr>
        <w:pStyle w:val="Heading1"/>
        <w:ind w:left="0" w:firstLine="0"/>
      </w:pPr>
      <w:bookmarkStart w:id="30" w:name="_Toc259613865"/>
      <w:r>
        <w:br w:type="page"/>
      </w:r>
      <w:bookmarkStart w:id="31" w:name="_Toc440029220"/>
      <w:bookmarkEnd w:id="30"/>
      <w:r w:rsidR="00DA75C1">
        <w:lastRenderedPageBreak/>
        <w:t>Regulatory impact analysis</w:t>
      </w:r>
      <w:bookmarkEnd w:id="31"/>
    </w:p>
    <w:p w:rsidR="00C57D4A" w:rsidRPr="00B77D78" w:rsidRDefault="00C57D4A" w:rsidP="00C57D4A">
      <w:pPr>
        <w:pStyle w:val="Heading2"/>
      </w:pPr>
      <w:bookmarkStart w:id="32" w:name="_Toc440029221"/>
      <w:r>
        <w:t>Whether to allow the strategy and levy simply to expire</w:t>
      </w:r>
      <w:bookmarkEnd w:id="32"/>
    </w:p>
    <w:p w:rsidR="00686A38" w:rsidRDefault="00686A38" w:rsidP="00686A38">
      <w:pPr>
        <w:numPr>
          <w:ilvl w:val="0"/>
          <w:numId w:val="41"/>
        </w:numPr>
        <w:ind w:left="567" w:hanging="567"/>
        <w:rPr>
          <w:sz w:val="22"/>
          <w:szCs w:val="22"/>
        </w:rPr>
      </w:pPr>
      <w:r>
        <w:rPr>
          <w:sz w:val="22"/>
          <w:szCs w:val="22"/>
        </w:rPr>
        <w:t xml:space="preserve">Various provisions in the Act make it clear that there should be a </w:t>
      </w:r>
      <w:r w:rsidRPr="00982A31">
        <w:rPr>
          <w:sz w:val="22"/>
          <w:szCs w:val="22"/>
        </w:rPr>
        <w:t>strategy</w:t>
      </w:r>
      <w:r>
        <w:rPr>
          <w:sz w:val="22"/>
          <w:szCs w:val="22"/>
        </w:rPr>
        <w:t>,</w:t>
      </w:r>
      <w:r w:rsidRPr="00982A31">
        <w:rPr>
          <w:sz w:val="22"/>
          <w:szCs w:val="22"/>
        </w:rPr>
        <w:t xml:space="preserve"> </w:t>
      </w:r>
      <w:r>
        <w:rPr>
          <w:sz w:val="22"/>
          <w:szCs w:val="22"/>
        </w:rPr>
        <w:t>the costs of which are recovered by way of the levy, and that the strategy should be refreshed and a new levy</w:t>
      </w:r>
      <w:r w:rsidRPr="00982A31">
        <w:rPr>
          <w:sz w:val="22"/>
          <w:szCs w:val="22"/>
        </w:rPr>
        <w:t xml:space="preserve"> </w:t>
      </w:r>
      <w:r>
        <w:rPr>
          <w:sz w:val="22"/>
          <w:szCs w:val="22"/>
        </w:rPr>
        <w:t xml:space="preserve">put in place </w:t>
      </w:r>
      <w:r w:rsidRPr="00982A31">
        <w:rPr>
          <w:sz w:val="22"/>
          <w:szCs w:val="22"/>
        </w:rPr>
        <w:t>at least every three years.</w:t>
      </w:r>
      <w:r>
        <w:rPr>
          <w:sz w:val="22"/>
          <w:szCs w:val="22"/>
        </w:rPr>
        <w:t xml:space="preserve">  </w:t>
      </w:r>
      <w:r w:rsidR="00C33E53">
        <w:rPr>
          <w:sz w:val="22"/>
          <w:szCs w:val="22"/>
        </w:rPr>
        <w:t>As a result, t</w:t>
      </w:r>
      <w:r w:rsidR="003B6F5B">
        <w:rPr>
          <w:sz w:val="22"/>
          <w:szCs w:val="22"/>
        </w:rPr>
        <w:t>o simply allow</w:t>
      </w:r>
      <w:r w:rsidR="009B3C58" w:rsidRPr="009163C5">
        <w:rPr>
          <w:sz w:val="22"/>
          <w:szCs w:val="22"/>
        </w:rPr>
        <w:t xml:space="preserve"> the </w:t>
      </w:r>
      <w:r w:rsidR="0033558B">
        <w:rPr>
          <w:sz w:val="22"/>
          <w:szCs w:val="22"/>
        </w:rPr>
        <w:t xml:space="preserve">current </w:t>
      </w:r>
      <w:r w:rsidR="00625911">
        <w:rPr>
          <w:sz w:val="22"/>
          <w:szCs w:val="22"/>
        </w:rPr>
        <w:t>strategy</w:t>
      </w:r>
      <w:r w:rsidR="0014245A">
        <w:rPr>
          <w:sz w:val="22"/>
          <w:szCs w:val="22"/>
        </w:rPr>
        <w:t xml:space="preserve"> </w:t>
      </w:r>
      <w:r w:rsidR="003B6F5B">
        <w:rPr>
          <w:sz w:val="22"/>
          <w:szCs w:val="22"/>
        </w:rPr>
        <w:t>and levy</w:t>
      </w:r>
      <w:r w:rsidR="009B3C58" w:rsidRPr="009163C5">
        <w:rPr>
          <w:sz w:val="22"/>
          <w:szCs w:val="22"/>
        </w:rPr>
        <w:t xml:space="preserve"> to expire</w:t>
      </w:r>
      <w:r w:rsidR="00A5384C" w:rsidRPr="009163C5">
        <w:rPr>
          <w:sz w:val="22"/>
          <w:szCs w:val="22"/>
        </w:rPr>
        <w:t xml:space="preserve"> without a </w:t>
      </w:r>
      <w:r w:rsidR="00625911">
        <w:rPr>
          <w:sz w:val="22"/>
          <w:szCs w:val="22"/>
        </w:rPr>
        <w:t>fresh strategy</w:t>
      </w:r>
      <w:r w:rsidR="00A5384C" w:rsidRPr="009163C5">
        <w:rPr>
          <w:sz w:val="22"/>
          <w:szCs w:val="22"/>
        </w:rPr>
        <w:t xml:space="preserve"> and </w:t>
      </w:r>
      <w:r w:rsidR="00625911">
        <w:rPr>
          <w:sz w:val="22"/>
          <w:szCs w:val="22"/>
        </w:rPr>
        <w:t xml:space="preserve">new </w:t>
      </w:r>
      <w:r w:rsidR="00A5384C" w:rsidRPr="009163C5">
        <w:rPr>
          <w:sz w:val="22"/>
          <w:szCs w:val="22"/>
        </w:rPr>
        <w:t>levy</w:t>
      </w:r>
      <w:r w:rsidR="0033558B">
        <w:rPr>
          <w:sz w:val="22"/>
          <w:szCs w:val="22"/>
        </w:rPr>
        <w:t xml:space="preserve"> being put in place</w:t>
      </w:r>
      <w:r w:rsidR="00C33E53">
        <w:rPr>
          <w:sz w:val="22"/>
          <w:szCs w:val="22"/>
        </w:rPr>
        <w:t xml:space="preserve"> could be considered inconsistent with the </w:t>
      </w:r>
      <w:r w:rsidR="00644B34">
        <w:rPr>
          <w:sz w:val="22"/>
          <w:szCs w:val="22"/>
        </w:rPr>
        <w:t xml:space="preserve">intent of the </w:t>
      </w:r>
      <w:r w:rsidR="00C33E53">
        <w:rPr>
          <w:sz w:val="22"/>
          <w:szCs w:val="22"/>
        </w:rPr>
        <w:t>Act</w:t>
      </w:r>
      <w:r w:rsidR="009B3C58" w:rsidRPr="009163C5">
        <w:rPr>
          <w:sz w:val="22"/>
          <w:szCs w:val="22"/>
        </w:rPr>
        <w:t xml:space="preserve">. </w:t>
      </w:r>
    </w:p>
    <w:p w:rsidR="00686A38" w:rsidRPr="00DD6480" w:rsidRDefault="00686A38" w:rsidP="00686A38">
      <w:pPr>
        <w:rPr>
          <w:sz w:val="22"/>
          <w:szCs w:val="22"/>
        </w:rPr>
      </w:pPr>
    </w:p>
    <w:p w:rsidR="00C57D4A" w:rsidRPr="009208DF" w:rsidRDefault="00C57D4A" w:rsidP="00625911">
      <w:pPr>
        <w:numPr>
          <w:ilvl w:val="0"/>
          <w:numId w:val="41"/>
        </w:numPr>
        <w:ind w:left="567" w:hanging="567"/>
        <w:rPr>
          <w:sz w:val="22"/>
          <w:szCs w:val="22"/>
        </w:rPr>
      </w:pPr>
      <w:r>
        <w:rPr>
          <w:sz w:val="22"/>
          <w:szCs w:val="22"/>
        </w:rPr>
        <w:t xml:space="preserve">If a </w:t>
      </w:r>
      <w:r w:rsidR="00625911">
        <w:rPr>
          <w:sz w:val="22"/>
          <w:szCs w:val="22"/>
        </w:rPr>
        <w:t>fresh strategy</w:t>
      </w:r>
      <w:r>
        <w:rPr>
          <w:sz w:val="22"/>
          <w:szCs w:val="22"/>
        </w:rPr>
        <w:t xml:space="preserve"> and new problem gambling levy regulations</w:t>
      </w:r>
      <w:r w:rsidR="00625911">
        <w:rPr>
          <w:sz w:val="22"/>
          <w:szCs w:val="22"/>
        </w:rPr>
        <w:t xml:space="preserve"> are not in place on 1 July 2016</w:t>
      </w:r>
      <w:r>
        <w:rPr>
          <w:sz w:val="22"/>
          <w:szCs w:val="22"/>
        </w:rPr>
        <w:t>, then</w:t>
      </w:r>
    </w:p>
    <w:p w:rsidR="00C57D4A" w:rsidRPr="0008483D" w:rsidRDefault="00C57D4A" w:rsidP="00625911">
      <w:pPr>
        <w:numPr>
          <w:ilvl w:val="0"/>
          <w:numId w:val="13"/>
        </w:numPr>
        <w:spacing w:before="120"/>
        <w:ind w:left="993" w:hanging="426"/>
        <w:rPr>
          <w:sz w:val="22"/>
          <w:szCs w:val="22"/>
        </w:rPr>
      </w:pPr>
      <w:r>
        <w:rPr>
          <w:sz w:val="22"/>
          <w:szCs w:val="22"/>
        </w:rPr>
        <w:t xml:space="preserve">either the Ministry will </w:t>
      </w:r>
      <w:r w:rsidR="00A46293">
        <w:rPr>
          <w:sz w:val="22"/>
          <w:szCs w:val="22"/>
        </w:rPr>
        <w:t xml:space="preserve">have to curtail the </w:t>
      </w:r>
      <w:r>
        <w:rPr>
          <w:sz w:val="22"/>
          <w:szCs w:val="22"/>
        </w:rPr>
        <w:t>services to prevent and minimise gambling harm</w:t>
      </w:r>
      <w:r w:rsidR="00A46293">
        <w:rPr>
          <w:sz w:val="22"/>
          <w:szCs w:val="22"/>
        </w:rPr>
        <w:t xml:space="preserve"> that it currently funds</w:t>
      </w:r>
    </w:p>
    <w:p w:rsidR="00C57D4A" w:rsidRPr="0008483D" w:rsidRDefault="00C57D4A" w:rsidP="00625911">
      <w:pPr>
        <w:numPr>
          <w:ilvl w:val="0"/>
          <w:numId w:val="13"/>
        </w:numPr>
        <w:spacing w:before="120"/>
        <w:ind w:left="993" w:hanging="426"/>
        <w:rPr>
          <w:sz w:val="22"/>
          <w:szCs w:val="22"/>
        </w:rPr>
      </w:pPr>
      <w:r>
        <w:rPr>
          <w:sz w:val="22"/>
          <w:szCs w:val="22"/>
        </w:rPr>
        <w:t>or the Ministry will continue purchasing some services from its baseline</w:t>
      </w:r>
      <w:r w:rsidR="00315F99">
        <w:rPr>
          <w:sz w:val="22"/>
          <w:szCs w:val="22"/>
        </w:rPr>
        <w:t xml:space="preserve"> for problem gambling services</w:t>
      </w:r>
      <w:r>
        <w:rPr>
          <w:sz w:val="22"/>
          <w:szCs w:val="22"/>
        </w:rPr>
        <w:t>, but gambling operators wil</w:t>
      </w:r>
      <w:r w:rsidR="00625911">
        <w:rPr>
          <w:sz w:val="22"/>
          <w:szCs w:val="22"/>
        </w:rPr>
        <w:t>l not be required to reimburse</w:t>
      </w:r>
      <w:r>
        <w:rPr>
          <w:sz w:val="22"/>
          <w:szCs w:val="22"/>
        </w:rPr>
        <w:t xml:space="preserve"> the Crown for the Ministry’s costs or the costs of the services the Ministry purchases</w:t>
      </w:r>
      <w:r w:rsidR="002562F1">
        <w:rPr>
          <w:sz w:val="22"/>
          <w:szCs w:val="22"/>
        </w:rPr>
        <w:t xml:space="preserve">, </w:t>
      </w:r>
      <w:r w:rsidR="00625911">
        <w:rPr>
          <w:sz w:val="22"/>
          <w:szCs w:val="22"/>
        </w:rPr>
        <w:t>until a fresh strategy and new problem gambling levy regulations are put in place</w:t>
      </w:r>
      <w:r>
        <w:rPr>
          <w:sz w:val="22"/>
          <w:szCs w:val="22"/>
        </w:rPr>
        <w:t>.</w:t>
      </w:r>
    </w:p>
    <w:p w:rsidR="00625911" w:rsidRDefault="00625911" w:rsidP="00625911">
      <w:pPr>
        <w:rPr>
          <w:sz w:val="22"/>
          <w:szCs w:val="22"/>
        </w:rPr>
      </w:pPr>
    </w:p>
    <w:p w:rsidR="00315F99" w:rsidRDefault="002D1FEC" w:rsidP="00315F99">
      <w:pPr>
        <w:numPr>
          <w:ilvl w:val="0"/>
          <w:numId w:val="41"/>
        </w:numPr>
        <w:ind w:left="567" w:hanging="567"/>
        <w:rPr>
          <w:sz w:val="22"/>
          <w:szCs w:val="22"/>
        </w:rPr>
      </w:pPr>
      <w:r>
        <w:rPr>
          <w:sz w:val="22"/>
          <w:szCs w:val="22"/>
        </w:rPr>
        <w:t xml:space="preserve">The </w:t>
      </w:r>
      <w:r w:rsidR="00315F99">
        <w:rPr>
          <w:sz w:val="22"/>
          <w:szCs w:val="22"/>
        </w:rPr>
        <w:t>best recent</w:t>
      </w:r>
      <w:r w:rsidR="002562F1">
        <w:rPr>
          <w:sz w:val="22"/>
          <w:szCs w:val="22"/>
        </w:rPr>
        <w:t xml:space="preserve"> research indicated</w:t>
      </w:r>
      <w:r>
        <w:rPr>
          <w:sz w:val="22"/>
          <w:szCs w:val="22"/>
        </w:rPr>
        <w:t xml:space="preserve"> that </w:t>
      </w:r>
      <w:r w:rsidR="00315F99" w:rsidRPr="00D62008">
        <w:rPr>
          <w:sz w:val="22"/>
          <w:szCs w:val="22"/>
        </w:rPr>
        <w:t xml:space="preserve">0.7 percent of adults in New Zealand (approximately 24,000 people) </w:t>
      </w:r>
      <w:r w:rsidR="00315F99">
        <w:rPr>
          <w:sz w:val="22"/>
          <w:szCs w:val="22"/>
        </w:rPr>
        <w:t>are</w:t>
      </w:r>
      <w:r w:rsidR="00315F99" w:rsidRPr="00D62008">
        <w:rPr>
          <w:sz w:val="22"/>
          <w:szCs w:val="22"/>
        </w:rPr>
        <w:t xml:space="preserve"> problem gamblers</w:t>
      </w:r>
      <w:r w:rsidR="00315F99" w:rsidRPr="002D1FEC">
        <w:rPr>
          <w:sz w:val="22"/>
          <w:szCs w:val="22"/>
        </w:rPr>
        <w:t xml:space="preserve"> </w:t>
      </w:r>
      <w:r w:rsidR="00AA222B">
        <w:rPr>
          <w:sz w:val="22"/>
          <w:szCs w:val="22"/>
        </w:rPr>
        <w:t xml:space="preserve">a further </w:t>
      </w:r>
      <w:r w:rsidR="00315F99" w:rsidRPr="00D62008">
        <w:rPr>
          <w:sz w:val="22"/>
          <w:szCs w:val="22"/>
        </w:rPr>
        <w:t xml:space="preserve">1.8 percent (60,000 people) </w:t>
      </w:r>
      <w:r w:rsidRPr="002D1FEC">
        <w:rPr>
          <w:sz w:val="22"/>
          <w:szCs w:val="22"/>
        </w:rPr>
        <w:t>are moderate-risk gamblers</w:t>
      </w:r>
      <w:r>
        <w:rPr>
          <w:sz w:val="22"/>
          <w:szCs w:val="22"/>
        </w:rPr>
        <w:t xml:space="preserve">, and </w:t>
      </w:r>
      <w:r w:rsidRPr="002D1FEC">
        <w:rPr>
          <w:sz w:val="22"/>
          <w:szCs w:val="22"/>
        </w:rPr>
        <w:t xml:space="preserve">another </w:t>
      </w:r>
      <w:r w:rsidR="00315F99" w:rsidRPr="00D62008">
        <w:rPr>
          <w:sz w:val="22"/>
          <w:szCs w:val="22"/>
        </w:rPr>
        <w:t xml:space="preserve">5.0 percent (168,000 people) </w:t>
      </w:r>
      <w:r w:rsidR="00315F99">
        <w:rPr>
          <w:sz w:val="22"/>
          <w:szCs w:val="22"/>
        </w:rPr>
        <w:t xml:space="preserve">are </w:t>
      </w:r>
      <w:r w:rsidRPr="002D1FEC">
        <w:rPr>
          <w:sz w:val="22"/>
          <w:szCs w:val="22"/>
        </w:rPr>
        <w:t xml:space="preserve">low-risk gamblers. </w:t>
      </w:r>
      <w:r w:rsidR="00503417">
        <w:rPr>
          <w:sz w:val="22"/>
          <w:szCs w:val="22"/>
        </w:rPr>
        <w:t xml:space="preserve">All problem gamblers and most moderate-risk and low-risk gamblers are likely to be experiencing at least some harm from their own gambling.  </w:t>
      </w:r>
      <w:r w:rsidR="00315F99">
        <w:rPr>
          <w:sz w:val="22"/>
          <w:szCs w:val="22"/>
        </w:rPr>
        <w:t>Other good recent research</w:t>
      </w:r>
      <w:r w:rsidRPr="002D1FEC">
        <w:rPr>
          <w:sz w:val="22"/>
          <w:szCs w:val="22"/>
        </w:rPr>
        <w:t xml:space="preserve"> indicated that, in the </w:t>
      </w:r>
      <w:r w:rsidR="00674C65">
        <w:rPr>
          <w:sz w:val="22"/>
          <w:szCs w:val="22"/>
        </w:rPr>
        <w:t xml:space="preserve">previous </w:t>
      </w:r>
      <w:r w:rsidRPr="002D1FEC">
        <w:rPr>
          <w:sz w:val="22"/>
          <w:szCs w:val="22"/>
        </w:rPr>
        <w:t xml:space="preserve">twelve months, around 90,000 adults experienced problems as a result of someone else’s gambling. </w:t>
      </w:r>
      <w:r w:rsidR="00503417">
        <w:rPr>
          <w:sz w:val="22"/>
          <w:szCs w:val="22"/>
        </w:rPr>
        <w:t xml:space="preserve"> None of these figures include children who are experiencing harm as a result of their own or someone else’s gambling.</w:t>
      </w:r>
    </w:p>
    <w:p w:rsidR="002D1FEC" w:rsidRPr="002D1FEC" w:rsidRDefault="002D1FEC" w:rsidP="00625911">
      <w:pPr>
        <w:rPr>
          <w:sz w:val="22"/>
          <w:szCs w:val="22"/>
        </w:rPr>
      </w:pPr>
    </w:p>
    <w:p w:rsidR="00C57D4A" w:rsidRDefault="00C57D4A" w:rsidP="00625911">
      <w:pPr>
        <w:numPr>
          <w:ilvl w:val="0"/>
          <w:numId w:val="41"/>
        </w:numPr>
        <w:ind w:left="567" w:hanging="567"/>
        <w:rPr>
          <w:sz w:val="22"/>
          <w:szCs w:val="22"/>
        </w:rPr>
      </w:pPr>
      <w:r>
        <w:rPr>
          <w:sz w:val="22"/>
          <w:szCs w:val="22"/>
        </w:rPr>
        <w:t xml:space="preserve">Ministry-funded gambling intervention services have helped around 12,000 </w:t>
      </w:r>
      <w:r w:rsidR="00315F99">
        <w:rPr>
          <w:sz w:val="22"/>
          <w:szCs w:val="22"/>
        </w:rPr>
        <w:t xml:space="preserve">to 13,000 </w:t>
      </w:r>
      <w:r>
        <w:rPr>
          <w:sz w:val="22"/>
          <w:szCs w:val="22"/>
        </w:rPr>
        <w:t xml:space="preserve">people in each year of the past </w:t>
      </w:r>
      <w:r w:rsidR="00315F99">
        <w:rPr>
          <w:sz w:val="22"/>
          <w:szCs w:val="22"/>
        </w:rPr>
        <w:t>six</w:t>
      </w:r>
      <w:r>
        <w:rPr>
          <w:sz w:val="22"/>
          <w:szCs w:val="22"/>
        </w:rPr>
        <w:t xml:space="preserve"> years. </w:t>
      </w:r>
      <w:r w:rsidR="00326DDE">
        <w:rPr>
          <w:sz w:val="22"/>
          <w:szCs w:val="22"/>
        </w:rPr>
        <w:t xml:space="preserve">Many of these people were in crisis. </w:t>
      </w:r>
      <w:r>
        <w:rPr>
          <w:sz w:val="22"/>
          <w:szCs w:val="22"/>
        </w:rPr>
        <w:t xml:space="preserve">If the Ministry ceased or reduced its funding for the intervention services, these people might find it very difficult to get the help they need. </w:t>
      </w:r>
    </w:p>
    <w:p w:rsidR="00C57D4A" w:rsidRPr="009208DF" w:rsidRDefault="00C57D4A" w:rsidP="00625911">
      <w:pPr>
        <w:rPr>
          <w:sz w:val="22"/>
          <w:szCs w:val="22"/>
        </w:rPr>
      </w:pPr>
    </w:p>
    <w:p w:rsidR="008C7C46" w:rsidRDefault="00C57D4A" w:rsidP="00625911">
      <w:pPr>
        <w:numPr>
          <w:ilvl w:val="0"/>
          <w:numId w:val="41"/>
        </w:numPr>
        <w:ind w:left="567" w:hanging="567"/>
        <w:rPr>
          <w:sz w:val="22"/>
          <w:szCs w:val="22"/>
        </w:rPr>
      </w:pPr>
      <w:r>
        <w:rPr>
          <w:sz w:val="22"/>
          <w:szCs w:val="22"/>
        </w:rPr>
        <w:t>The negative impacts</w:t>
      </w:r>
      <w:r w:rsidRPr="008B23B3">
        <w:rPr>
          <w:sz w:val="22"/>
          <w:szCs w:val="22"/>
        </w:rPr>
        <w:t xml:space="preserve"> </w:t>
      </w:r>
      <w:r>
        <w:rPr>
          <w:sz w:val="22"/>
          <w:szCs w:val="22"/>
        </w:rPr>
        <w:t>of reducing or ceasing funding for public health or intervention services to prevent and minimise gambling-related harm</w:t>
      </w:r>
      <w:r w:rsidRPr="008B23B3">
        <w:rPr>
          <w:sz w:val="22"/>
          <w:szCs w:val="22"/>
        </w:rPr>
        <w:t xml:space="preserve"> are likely to be greater for groups already disproportionately affected by gambling harm, su</w:t>
      </w:r>
      <w:r w:rsidR="002562F1">
        <w:rPr>
          <w:sz w:val="22"/>
          <w:szCs w:val="22"/>
        </w:rPr>
        <w:t>ch as Māori, Pacific peoples,</w:t>
      </w:r>
      <w:r w:rsidRPr="008B23B3">
        <w:rPr>
          <w:sz w:val="22"/>
          <w:szCs w:val="22"/>
        </w:rPr>
        <w:t xml:space="preserve"> people living in high-deprivation areas</w:t>
      </w:r>
      <w:r w:rsidR="002562F1">
        <w:rPr>
          <w:sz w:val="22"/>
          <w:szCs w:val="22"/>
        </w:rPr>
        <w:t>, and some segments of the Asian population</w:t>
      </w:r>
      <w:r w:rsidRPr="008B23B3">
        <w:rPr>
          <w:sz w:val="22"/>
          <w:szCs w:val="22"/>
        </w:rPr>
        <w:t>.</w:t>
      </w:r>
      <w:r>
        <w:rPr>
          <w:sz w:val="22"/>
          <w:szCs w:val="22"/>
        </w:rPr>
        <w:t xml:space="preserve"> </w:t>
      </w:r>
    </w:p>
    <w:p w:rsidR="008C7C46" w:rsidRDefault="008C7C46" w:rsidP="00625911">
      <w:pPr>
        <w:rPr>
          <w:sz w:val="22"/>
          <w:szCs w:val="22"/>
        </w:rPr>
      </w:pPr>
    </w:p>
    <w:p w:rsidR="00C57D4A" w:rsidRPr="008B23B3" w:rsidRDefault="008C7C46" w:rsidP="00625911">
      <w:pPr>
        <w:numPr>
          <w:ilvl w:val="0"/>
          <w:numId w:val="41"/>
        </w:numPr>
        <w:ind w:left="567" w:hanging="567"/>
        <w:rPr>
          <w:sz w:val="22"/>
          <w:szCs w:val="22"/>
        </w:rPr>
      </w:pPr>
      <w:r>
        <w:rPr>
          <w:sz w:val="22"/>
          <w:szCs w:val="22"/>
        </w:rPr>
        <w:t xml:space="preserve">Reducing or ceasing funding </w:t>
      </w:r>
      <w:r w:rsidR="00C57D4A">
        <w:rPr>
          <w:sz w:val="22"/>
          <w:szCs w:val="22"/>
        </w:rPr>
        <w:t>is</w:t>
      </w:r>
      <w:r w:rsidR="00C57D4A" w:rsidRPr="008B23B3">
        <w:rPr>
          <w:sz w:val="22"/>
          <w:szCs w:val="22"/>
        </w:rPr>
        <w:t xml:space="preserve"> </w:t>
      </w:r>
      <w:r w:rsidR="00C57D4A">
        <w:rPr>
          <w:sz w:val="22"/>
          <w:szCs w:val="22"/>
        </w:rPr>
        <w:t xml:space="preserve">also </w:t>
      </w:r>
      <w:r w:rsidR="00C57D4A" w:rsidRPr="008B23B3">
        <w:rPr>
          <w:sz w:val="22"/>
          <w:szCs w:val="22"/>
        </w:rPr>
        <w:t>likely to lead to increased pressure on the health, social welfare and criminal justice sectors</w:t>
      </w:r>
      <w:r w:rsidR="00C57D4A">
        <w:rPr>
          <w:sz w:val="22"/>
          <w:szCs w:val="22"/>
        </w:rPr>
        <w:t xml:space="preserve">. </w:t>
      </w:r>
    </w:p>
    <w:p w:rsidR="00C57D4A" w:rsidRDefault="00C57D4A" w:rsidP="00625911">
      <w:pPr>
        <w:rPr>
          <w:sz w:val="22"/>
          <w:szCs w:val="22"/>
        </w:rPr>
      </w:pPr>
    </w:p>
    <w:p w:rsidR="00C57D4A" w:rsidRPr="00E96FE3" w:rsidRDefault="00C57D4A" w:rsidP="00625911">
      <w:pPr>
        <w:numPr>
          <w:ilvl w:val="0"/>
          <w:numId w:val="41"/>
        </w:numPr>
        <w:ind w:left="567" w:hanging="567"/>
        <w:rPr>
          <w:sz w:val="22"/>
          <w:szCs w:val="22"/>
        </w:rPr>
      </w:pPr>
      <w:r w:rsidRPr="00E96FE3">
        <w:rPr>
          <w:sz w:val="22"/>
          <w:szCs w:val="22"/>
        </w:rPr>
        <w:t xml:space="preserve">Without a research </w:t>
      </w:r>
      <w:r>
        <w:rPr>
          <w:sz w:val="22"/>
          <w:szCs w:val="22"/>
        </w:rPr>
        <w:t xml:space="preserve">and evaluation </w:t>
      </w:r>
      <w:r w:rsidRPr="00E96FE3">
        <w:rPr>
          <w:sz w:val="22"/>
          <w:szCs w:val="22"/>
        </w:rPr>
        <w:t xml:space="preserve">programme, </w:t>
      </w:r>
      <w:r>
        <w:rPr>
          <w:sz w:val="22"/>
          <w:szCs w:val="22"/>
        </w:rPr>
        <w:t xml:space="preserve">it will not be possible to answer </w:t>
      </w:r>
      <w:r w:rsidRPr="00E96FE3">
        <w:rPr>
          <w:sz w:val="22"/>
          <w:szCs w:val="22"/>
        </w:rPr>
        <w:t xml:space="preserve">significant questions about the </w:t>
      </w:r>
      <w:r>
        <w:rPr>
          <w:sz w:val="22"/>
          <w:szCs w:val="22"/>
        </w:rPr>
        <w:t>nature and prevalen</w:t>
      </w:r>
      <w:r w:rsidR="00315F99">
        <w:rPr>
          <w:sz w:val="22"/>
          <w:szCs w:val="22"/>
        </w:rPr>
        <w:t>ce of gambling</w:t>
      </w:r>
      <w:r>
        <w:rPr>
          <w:sz w:val="22"/>
          <w:szCs w:val="22"/>
        </w:rPr>
        <w:t xml:space="preserve"> harm, and about the </w:t>
      </w:r>
      <w:r w:rsidRPr="00E96FE3">
        <w:rPr>
          <w:sz w:val="22"/>
          <w:szCs w:val="22"/>
        </w:rPr>
        <w:t xml:space="preserve">effectiveness of </w:t>
      </w:r>
      <w:r>
        <w:rPr>
          <w:sz w:val="22"/>
          <w:szCs w:val="22"/>
        </w:rPr>
        <w:t xml:space="preserve">the </w:t>
      </w:r>
      <w:r w:rsidRPr="00E96FE3">
        <w:rPr>
          <w:sz w:val="22"/>
          <w:szCs w:val="22"/>
        </w:rPr>
        <w:t xml:space="preserve">current </w:t>
      </w:r>
      <w:r>
        <w:rPr>
          <w:sz w:val="22"/>
          <w:szCs w:val="22"/>
        </w:rPr>
        <w:t>mix of</w:t>
      </w:r>
      <w:r w:rsidRPr="00E96FE3">
        <w:rPr>
          <w:sz w:val="22"/>
          <w:szCs w:val="22"/>
        </w:rPr>
        <w:t xml:space="preserve"> services.</w:t>
      </w:r>
    </w:p>
    <w:p w:rsidR="00C57D4A" w:rsidRPr="00E96FE3" w:rsidRDefault="00C57D4A" w:rsidP="00625911">
      <w:pPr>
        <w:rPr>
          <w:sz w:val="22"/>
          <w:szCs w:val="22"/>
        </w:rPr>
      </w:pPr>
    </w:p>
    <w:p w:rsidR="00C57D4A" w:rsidRDefault="00C57D4A" w:rsidP="00625911">
      <w:pPr>
        <w:numPr>
          <w:ilvl w:val="0"/>
          <w:numId w:val="41"/>
        </w:numPr>
        <w:ind w:left="567" w:hanging="567"/>
        <w:rPr>
          <w:sz w:val="22"/>
          <w:szCs w:val="22"/>
        </w:rPr>
      </w:pPr>
      <w:r>
        <w:rPr>
          <w:sz w:val="22"/>
          <w:szCs w:val="22"/>
        </w:rPr>
        <w:t>If funding is reduced or ceases, there are likely to be job losses and service closures, including job losses in and possible closures of gambling research institutions.</w:t>
      </w:r>
    </w:p>
    <w:p w:rsidR="00C57D4A" w:rsidRDefault="00C57D4A" w:rsidP="00625911">
      <w:pPr>
        <w:rPr>
          <w:sz w:val="22"/>
          <w:szCs w:val="22"/>
        </w:rPr>
      </w:pPr>
    </w:p>
    <w:p w:rsidR="00C57D4A" w:rsidRPr="00E96FE3" w:rsidRDefault="00C57D4A" w:rsidP="00433867">
      <w:pPr>
        <w:numPr>
          <w:ilvl w:val="0"/>
          <w:numId w:val="41"/>
        </w:numPr>
        <w:ind w:left="567" w:hanging="567"/>
        <w:rPr>
          <w:sz w:val="22"/>
          <w:szCs w:val="22"/>
        </w:rPr>
      </w:pPr>
      <w:r w:rsidRPr="00E96FE3">
        <w:rPr>
          <w:sz w:val="22"/>
          <w:szCs w:val="22"/>
        </w:rPr>
        <w:t xml:space="preserve">If there were no strategy, gambling </w:t>
      </w:r>
      <w:r>
        <w:rPr>
          <w:sz w:val="22"/>
          <w:szCs w:val="22"/>
        </w:rPr>
        <w:t>o</w:t>
      </w:r>
      <w:r w:rsidR="00315F99">
        <w:rPr>
          <w:sz w:val="22"/>
          <w:szCs w:val="22"/>
        </w:rPr>
        <w:t>perators would retain around $</w:t>
      </w:r>
      <w:r w:rsidR="002562F1">
        <w:rPr>
          <w:sz w:val="22"/>
          <w:szCs w:val="22"/>
        </w:rPr>
        <w:t>18.5</w:t>
      </w:r>
      <w:r w:rsidRPr="00E96FE3">
        <w:rPr>
          <w:sz w:val="22"/>
          <w:szCs w:val="22"/>
        </w:rPr>
        <w:t> million annually</w:t>
      </w:r>
      <w:r w:rsidR="0066352F" w:rsidRPr="0066352F">
        <w:rPr>
          <w:sz w:val="22"/>
          <w:szCs w:val="22"/>
        </w:rPr>
        <w:t xml:space="preserve"> </w:t>
      </w:r>
      <w:r w:rsidR="0066352F">
        <w:rPr>
          <w:sz w:val="22"/>
          <w:szCs w:val="22"/>
        </w:rPr>
        <w:t>that they are currently required to pay in levy</w:t>
      </w:r>
      <w:r>
        <w:rPr>
          <w:sz w:val="22"/>
          <w:szCs w:val="22"/>
        </w:rPr>
        <w:t xml:space="preserve">. This would mean that: </w:t>
      </w:r>
    </w:p>
    <w:p w:rsidR="00C57D4A" w:rsidRPr="00E96FE3" w:rsidRDefault="00C57D4A" w:rsidP="00C57D4A">
      <w:pPr>
        <w:numPr>
          <w:ilvl w:val="0"/>
          <w:numId w:val="13"/>
        </w:numPr>
        <w:spacing w:before="120"/>
        <w:ind w:left="993" w:hanging="426"/>
        <w:rPr>
          <w:sz w:val="22"/>
          <w:szCs w:val="22"/>
        </w:rPr>
      </w:pPr>
      <w:r w:rsidRPr="00E96FE3">
        <w:rPr>
          <w:sz w:val="22"/>
          <w:szCs w:val="22"/>
        </w:rPr>
        <w:t xml:space="preserve">the non-casino gaming machine sector </w:t>
      </w:r>
      <w:r>
        <w:rPr>
          <w:sz w:val="22"/>
          <w:szCs w:val="22"/>
        </w:rPr>
        <w:t>would h</w:t>
      </w:r>
      <w:r w:rsidR="002562F1">
        <w:rPr>
          <w:sz w:val="22"/>
          <w:szCs w:val="22"/>
        </w:rPr>
        <w:t>ave around $11</w:t>
      </w:r>
      <w:r>
        <w:rPr>
          <w:sz w:val="22"/>
          <w:szCs w:val="22"/>
        </w:rPr>
        <w:t> million more available each year for allocation to community purposes</w:t>
      </w:r>
    </w:p>
    <w:p w:rsidR="00C57D4A" w:rsidRPr="00E96FE3" w:rsidRDefault="00C57D4A" w:rsidP="00C57D4A">
      <w:pPr>
        <w:numPr>
          <w:ilvl w:val="0"/>
          <w:numId w:val="13"/>
        </w:numPr>
        <w:spacing w:before="120"/>
        <w:ind w:left="993" w:hanging="426"/>
        <w:rPr>
          <w:sz w:val="22"/>
          <w:szCs w:val="22"/>
        </w:rPr>
      </w:pPr>
      <w:r>
        <w:rPr>
          <w:sz w:val="22"/>
          <w:szCs w:val="22"/>
        </w:rPr>
        <w:lastRenderedPageBreak/>
        <w:t xml:space="preserve">the casinos would have around </w:t>
      </w:r>
      <w:r w:rsidR="002562F1">
        <w:rPr>
          <w:sz w:val="22"/>
          <w:szCs w:val="22"/>
        </w:rPr>
        <w:t>$4</w:t>
      </w:r>
      <w:r w:rsidRPr="00E96FE3">
        <w:rPr>
          <w:sz w:val="22"/>
          <w:szCs w:val="22"/>
        </w:rPr>
        <w:t xml:space="preserve"> million </w:t>
      </w:r>
      <w:r>
        <w:rPr>
          <w:sz w:val="22"/>
          <w:szCs w:val="22"/>
        </w:rPr>
        <w:t>more in profits each year</w:t>
      </w:r>
    </w:p>
    <w:p w:rsidR="00C57D4A" w:rsidRPr="00E96FE3" w:rsidRDefault="00C57D4A" w:rsidP="00C57D4A">
      <w:pPr>
        <w:numPr>
          <w:ilvl w:val="0"/>
          <w:numId w:val="13"/>
        </w:numPr>
        <w:spacing w:before="120"/>
        <w:ind w:left="993" w:hanging="426"/>
        <w:rPr>
          <w:sz w:val="22"/>
          <w:szCs w:val="22"/>
        </w:rPr>
      </w:pPr>
      <w:r w:rsidRPr="00E96FE3">
        <w:rPr>
          <w:sz w:val="22"/>
          <w:szCs w:val="22"/>
        </w:rPr>
        <w:t xml:space="preserve">the New Zealand Racing Board </w:t>
      </w:r>
      <w:r>
        <w:rPr>
          <w:sz w:val="22"/>
          <w:szCs w:val="22"/>
        </w:rPr>
        <w:t>would have around $2 million more available each year for distribution to the racing industry</w:t>
      </w:r>
    </w:p>
    <w:p w:rsidR="00C57D4A" w:rsidRPr="00E96FE3" w:rsidRDefault="00C57D4A" w:rsidP="00C57D4A">
      <w:pPr>
        <w:numPr>
          <w:ilvl w:val="0"/>
          <w:numId w:val="13"/>
        </w:numPr>
        <w:spacing w:before="120"/>
        <w:ind w:left="993" w:hanging="426"/>
        <w:rPr>
          <w:sz w:val="22"/>
          <w:szCs w:val="22"/>
        </w:rPr>
      </w:pPr>
      <w:r w:rsidRPr="00E96FE3">
        <w:rPr>
          <w:sz w:val="22"/>
          <w:szCs w:val="22"/>
        </w:rPr>
        <w:t xml:space="preserve">the New Zealand Lotteries Commission </w:t>
      </w:r>
      <w:r w:rsidR="002562F1">
        <w:rPr>
          <w:sz w:val="22"/>
          <w:szCs w:val="22"/>
        </w:rPr>
        <w:t>could pay around $1</w:t>
      </w:r>
      <w:r>
        <w:rPr>
          <w:sz w:val="22"/>
          <w:szCs w:val="22"/>
        </w:rPr>
        <w:t xml:space="preserve"> million more to the Lottery Grants Board each year for allocation to community purposes</w:t>
      </w:r>
      <w:r w:rsidRPr="00E96FE3">
        <w:rPr>
          <w:sz w:val="22"/>
          <w:szCs w:val="22"/>
        </w:rPr>
        <w:t>.</w:t>
      </w:r>
    </w:p>
    <w:p w:rsidR="00C57D4A" w:rsidRPr="0023082A" w:rsidRDefault="00C57D4A" w:rsidP="00C57D4A">
      <w:pPr>
        <w:rPr>
          <w:sz w:val="22"/>
          <w:szCs w:val="22"/>
        </w:rPr>
      </w:pPr>
    </w:p>
    <w:p w:rsidR="00C57D4A" w:rsidRPr="002C29CE" w:rsidRDefault="0066352F" w:rsidP="00D60947">
      <w:pPr>
        <w:numPr>
          <w:ilvl w:val="0"/>
          <w:numId w:val="41"/>
        </w:numPr>
        <w:ind w:left="567" w:hanging="567"/>
        <w:rPr>
          <w:sz w:val="22"/>
          <w:szCs w:val="22"/>
        </w:rPr>
      </w:pPr>
      <w:r>
        <w:rPr>
          <w:sz w:val="22"/>
          <w:szCs w:val="22"/>
        </w:rPr>
        <w:t xml:space="preserve">These amounts total less than 1% of annual gambling operator gross profit.  </w:t>
      </w:r>
      <w:r w:rsidR="00A25FAF">
        <w:rPr>
          <w:sz w:val="22"/>
          <w:szCs w:val="22"/>
        </w:rPr>
        <w:t>T</w:t>
      </w:r>
      <w:r w:rsidR="00C57D4A" w:rsidRPr="002C29CE">
        <w:rPr>
          <w:sz w:val="22"/>
          <w:szCs w:val="22"/>
        </w:rPr>
        <w:t>he Australian Productivity Commission recently concluded that the significant social cost of problem gambling means that even harm minimisation measures with modest efficacy may generate net benefits as long as they do not also inadvertently generate excessive costs for industry or gamblers generally (Productivity Commission 2010).</w:t>
      </w:r>
    </w:p>
    <w:p w:rsidR="00C57D4A" w:rsidRDefault="00C57D4A" w:rsidP="00D60947">
      <w:pPr>
        <w:rPr>
          <w:sz w:val="22"/>
          <w:szCs w:val="22"/>
        </w:rPr>
      </w:pPr>
    </w:p>
    <w:p w:rsidR="00FC67CD" w:rsidRPr="002C29CE" w:rsidRDefault="00FC67CD" w:rsidP="00D60947">
      <w:pPr>
        <w:numPr>
          <w:ilvl w:val="0"/>
          <w:numId w:val="41"/>
        </w:numPr>
        <w:ind w:left="567" w:hanging="567"/>
        <w:rPr>
          <w:sz w:val="22"/>
          <w:szCs w:val="22"/>
        </w:rPr>
      </w:pPr>
      <w:r>
        <w:rPr>
          <w:sz w:val="22"/>
          <w:szCs w:val="22"/>
        </w:rPr>
        <w:t xml:space="preserve">For all these reasons, the option of allowing the current </w:t>
      </w:r>
      <w:r w:rsidR="002562F1">
        <w:rPr>
          <w:sz w:val="22"/>
          <w:szCs w:val="22"/>
        </w:rPr>
        <w:t>strategy</w:t>
      </w:r>
      <w:r>
        <w:rPr>
          <w:sz w:val="22"/>
          <w:szCs w:val="22"/>
        </w:rPr>
        <w:t xml:space="preserve"> and levy to expire without replacing them is not recommended.</w:t>
      </w:r>
    </w:p>
    <w:p w:rsidR="00FC67CD" w:rsidRDefault="00FC67CD" w:rsidP="00D60947">
      <w:pPr>
        <w:rPr>
          <w:sz w:val="22"/>
          <w:szCs w:val="22"/>
        </w:rPr>
      </w:pPr>
    </w:p>
    <w:p w:rsidR="009163C5" w:rsidRDefault="00C14FCE" w:rsidP="00D60947">
      <w:pPr>
        <w:numPr>
          <w:ilvl w:val="0"/>
          <w:numId w:val="41"/>
        </w:numPr>
        <w:ind w:left="567" w:hanging="567"/>
        <w:rPr>
          <w:sz w:val="22"/>
          <w:szCs w:val="22"/>
        </w:rPr>
      </w:pPr>
      <w:r>
        <w:rPr>
          <w:sz w:val="22"/>
          <w:szCs w:val="22"/>
        </w:rPr>
        <w:t xml:space="preserve">On the assumption that there will be a </w:t>
      </w:r>
      <w:r w:rsidR="002562F1">
        <w:rPr>
          <w:sz w:val="22"/>
          <w:szCs w:val="22"/>
        </w:rPr>
        <w:t>refreshed strategy</w:t>
      </w:r>
      <w:r>
        <w:rPr>
          <w:sz w:val="22"/>
          <w:szCs w:val="22"/>
        </w:rPr>
        <w:t xml:space="preserve"> an</w:t>
      </w:r>
      <w:r w:rsidR="00D60947">
        <w:rPr>
          <w:sz w:val="22"/>
          <w:szCs w:val="22"/>
        </w:rPr>
        <w:t>d a new levy for the 1</w:t>
      </w:r>
      <w:r w:rsidR="002562F1">
        <w:rPr>
          <w:sz w:val="22"/>
          <w:szCs w:val="22"/>
        </w:rPr>
        <w:t> </w:t>
      </w:r>
      <w:r w:rsidR="00D60947">
        <w:rPr>
          <w:sz w:val="22"/>
          <w:szCs w:val="22"/>
        </w:rPr>
        <w:t>July</w:t>
      </w:r>
      <w:r w:rsidR="002562F1">
        <w:rPr>
          <w:sz w:val="22"/>
          <w:szCs w:val="22"/>
        </w:rPr>
        <w:t> </w:t>
      </w:r>
      <w:r w:rsidR="00D60947">
        <w:rPr>
          <w:sz w:val="22"/>
          <w:szCs w:val="22"/>
        </w:rPr>
        <w:t>2016</w:t>
      </w:r>
      <w:r>
        <w:rPr>
          <w:sz w:val="22"/>
          <w:szCs w:val="22"/>
        </w:rPr>
        <w:t xml:space="preserve"> to 30</w:t>
      </w:r>
      <w:r w:rsidR="002562F1">
        <w:rPr>
          <w:sz w:val="22"/>
          <w:szCs w:val="22"/>
        </w:rPr>
        <w:t> </w:t>
      </w:r>
      <w:r>
        <w:rPr>
          <w:sz w:val="22"/>
          <w:szCs w:val="22"/>
        </w:rPr>
        <w:t>June</w:t>
      </w:r>
      <w:r w:rsidR="00D60947">
        <w:rPr>
          <w:sz w:val="22"/>
          <w:szCs w:val="22"/>
        </w:rPr>
        <w:t xml:space="preserve"> 2019</w:t>
      </w:r>
      <w:r w:rsidR="002562F1">
        <w:rPr>
          <w:sz w:val="22"/>
          <w:szCs w:val="22"/>
        </w:rPr>
        <w:t> </w:t>
      </w:r>
      <w:r>
        <w:rPr>
          <w:sz w:val="22"/>
          <w:szCs w:val="22"/>
        </w:rPr>
        <w:t>period, this Regulatory Impact Analysis focuses on the three decisions that the Government must make:</w:t>
      </w:r>
    </w:p>
    <w:p w:rsidR="00D60947" w:rsidRDefault="00D60947" w:rsidP="00D60947">
      <w:pPr>
        <w:numPr>
          <w:ilvl w:val="0"/>
          <w:numId w:val="13"/>
        </w:numPr>
        <w:spacing w:before="120"/>
        <w:ind w:left="993" w:hanging="426"/>
        <w:rPr>
          <w:sz w:val="22"/>
          <w:szCs w:val="22"/>
        </w:rPr>
      </w:pPr>
      <w:r>
        <w:rPr>
          <w:sz w:val="22"/>
          <w:szCs w:val="22"/>
        </w:rPr>
        <w:t>the amount to be appropriated to the Ministry for its Strategy</w:t>
      </w:r>
    </w:p>
    <w:p w:rsidR="00D60947" w:rsidRDefault="00D60947" w:rsidP="00D60947">
      <w:pPr>
        <w:numPr>
          <w:ilvl w:val="0"/>
          <w:numId w:val="13"/>
        </w:numPr>
        <w:spacing w:before="120"/>
        <w:ind w:left="993" w:hanging="426"/>
        <w:rPr>
          <w:sz w:val="22"/>
          <w:szCs w:val="22"/>
        </w:rPr>
      </w:pPr>
      <w:r>
        <w:rPr>
          <w:sz w:val="22"/>
          <w:szCs w:val="22"/>
        </w:rPr>
        <w:t>which gambling sectors will pay the levy</w:t>
      </w:r>
    </w:p>
    <w:p w:rsidR="00D60947" w:rsidRDefault="00D60947" w:rsidP="00D60947">
      <w:pPr>
        <w:numPr>
          <w:ilvl w:val="0"/>
          <w:numId w:val="13"/>
        </w:numPr>
        <w:spacing w:before="120"/>
        <w:ind w:left="993" w:hanging="426"/>
        <w:rPr>
          <w:sz w:val="22"/>
          <w:szCs w:val="22"/>
        </w:rPr>
      </w:pPr>
      <w:r>
        <w:rPr>
          <w:sz w:val="22"/>
          <w:szCs w:val="22"/>
        </w:rPr>
        <w:t>the weighting between help-seeking and expenditure to use in the Act’s formula for calculating each sector’s levy rate.</w:t>
      </w:r>
    </w:p>
    <w:p w:rsidR="00C14FCE" w:rsidRPr="009163C5" w:rsidRDefault="00C14FCE" w:rsidP="00D60947">
      <w:pPr>
        <w:rPr>
          <w:sz w:val="22"/>
          <w:szCs w:val="22"/>
        </w:rPr>
      </w:pPr>
    </w:p>
    <w:p w:rsidR="00A078FC" w:rsidRPr="00B77D78" w:rsidRDefault="00433867" w:rsidP="00A078FC">
      <w:pPr>
        <w:pStyle w:val="Heading2"/>
      </w:pPr>
      <w:bookmarkStart w:id="33" w:name="_Toc440029222"/>
      <w:r>
        <w:t>Ministry’s appropriation</w:t>
      </w:r>
      <w:r w:rsidR="00D60947">
        <w:t xml:space="preserve"> for 2016/17 to 2018</w:t>
      </w:r>
      <w:r w:rsidR="00A078FC">
        <w:t>/1</w:t>
      </w:r>
      <w:r w:rsidR="00D60947">
        <w:t>9</w:t>
      </w:r>
      <w:bookmarkEnd w:id="33"/>
    </w:p>
    <w:p w:rsidR="000D42F2" w:rsidRDefault="009F2D15" w:rsidP="00D60947">
      <w:pPr>
        <w:numPr>
          <w:ilvl w:val="0"/>
          <w:numId w:val="41"/>
        </w:numPr>
        <w:ind w:left="567" w:hanging="567"/>
        <w:rPr>
          <w:sz w:val="22"/>
          <w:szCs w:val="22"/>
        </w:rPr>
      </w:pPr>
      <w:r w:rsidRPr="00A078FC">
        <w:rPr>
          <w:sz w:val="22"/>
          <w:szCs w:val="22"/>
        </w:rPr>
        <w:t xml:space="preserve">The </w:t>
      </w:r>
      <w:r w:rsidR="00A078FC">
        <w:rPr>
          <w:sz w:val="22"/>
          <w:szCs w:val="22"/>
        </w:rPr>
        <w:t xml:space="preserve">Ministry’s proposed </w:t>
      </w:r>
      <w:r w:rsidR="00D60947">
        <w:rPr>
          <w:sz w:val="22"/>
          <w:szCs w:val="22"/>
        </w:rPr>
        <w:t>Strategy to Prevent and Minimise Gambling Harm for 2016/17 to 2018/19</w:t>
      </w:r>
      <w:r w:rsidR="00A078FC">
        <w:rPr>
          <w:sz w:val="22"/>
          <w:szCs w:val="22"/>
        </w:rPr>
        <w:t xml:space="preserve"> would require an app</w:t>
      </w:r>
      <w:r w:rsidR="00A76C5B">
        <w:rPr>
          <w:sz w:val="22"/>
          <w:szCs w:val="22"/>
        </w:rPr>
        <w:t>ropriation of $55.339</w:t>
      </w:r>
      <w:r w:rsidR="00E91C9F">
        <w:rPr>
          <w:sz w:val="22"/>
          <w:szCs w:val="22"/>
        </w:rPr>
        <w:t> </w:t>
      </w:r>
      <w:r w:rsidR="00A76C5B">
        <w:rPr>
          <w:sz w:val="22"/>
          <w:szCs w:val="22"/>
        </w:rPr>
        <w:t>million</w:t>
      </w:r>
      <w:r w:rsidR="00A078FC">
        <w:rPr>
          <w:sz w:val="22"/>
          <w:szCs w:val="22"/>
        </w:rPr>
        <w:t xml:space="preserve"> (GST exclusive)</w:t>
      </w:r>
      <w:r w:rsidR="000D42F2" w:rsidRPr="00A078FC">
        <w:rPr>
          <w:sz w:val="22"/>
          <w:szCs w:val="22"/>
        </w:rPr>
        <w:t>.</w:t>
      </w:r>
      <w:r w:rsidR="00A078FC">
        <w:rPr>
          <w:sz w:val="22"/>
          <w:szCs w:val="22"/>
        </w:rPr>
        <w:t xml:space="preserve"> </w:t>
      </w:r>
      <w:r w:rsidR="002E1E0D">
        <w:rPr>
          <w:sz w:val="22"/>
          <w:szCs w:val="22"/>
        </w:rPr>
        <w:t xml:space="preserve">This amount is </w:t>
      </w:r>
      <w:r w:rsidR="00D60947">
        <w:rPr>
          <w:sz w:val="22"/>
          <w:szCs w:val="22"/>
        </w:rPr>
        <w:t>the same as</w:t>
      </w:r>
      <w:r w:rsidR="002E1E0D">
        <w:rPr>
          <w:sz w:val="22"/>
          <w:szCs w:val="22"/>
        </w:rPr>
        <w:t xml:space="preserve"> the appropriatio</w:t>
      </w:r>
      <w:r w:rsidR="00D60947">
        <w:rPr>
          <w:sz w:val="22"/>
          <w:szCs w:val="22"/>
        </w:rPr>
        <w:t>n approved for the current (2013/14 to 2015/16) period</w:t>
      </w:r>
      <w:r w:rsidR="002A2E80">
        <w:rPr>
          <w:sz w:val="22"/>
          <w:szCs w:val="22"/>
        </w:rPr>
        <w:t>, less than its appropriation in each of the previous two levy periods, and less in real terms than its appropriation of around $50 million for the first levy period, 2004/05 to 2006/07</w:t>
      </w:r>
      <w:r w:rsidR="002E1E0D">
        <w:rPr>
          <w:sz w:val="22"/>
          <w:szCs w:val="22"/>
        </w:rPr>
        <w:t>.</w:t>
      </w:r>
    </w:p>
    <w:p w:rsidR="00A078FC" w:rsidRDefault="00A078FC" w:rsidP="00D60947">
      <w:pPr>
        <w:rPr>
          <w:sz w:val="22"/>
          <w:szCs w:val="22"/>
        </w:rPr>
      </w:pPr>
    </w:p>
    <w:p w:rsidR="00A078FC" w:rsidRPr="00A078FC" w:rsidRDefault="00A078FC" w:rsidP="00D60947">
      <w:pPr>
        <w:numPr>
          <w:ilvl w:val="0"/>
          <w:numId w:val="41"/>
        </w:numPr>
        <w:ind w:left="567" w:hanging="567"/>
        <w:rPr>
          <w:sz w:val="22"/>
          <w:szCs w:val="22"/>
        </w:rPr>
      </w:pPr>
      <w:r>
        <w:rPr>
          <w:sz w:val="22"/>
          <w:szCs w:val="22"/>
        </w:rPr>
        <w:t xml:space="preserve">Taking into account </w:t>
      </w:r>
      <w:r w:rsidR="00E91C9F">
        <w:rPr>
          <w:sz w:val="22"/>
          <w:szCs w:val="22"/>
        </w:rPr>
        <w:t xml:space="preserve">a </w:t>
      </w:r>
      <w:r>
        <w:rPr>
          <w:sz w:val="22"/>
          <w:szCs w:val="22"/>
        </w:rPr>
        <w:t xml:space="preserve">forecast </w:t>
      </w:r>
      <w:r w:rsidR="00E91C9F">
        <w:rPr>
          <w:sz w:val="22"/>
          <w:szCs w:val="22"/>
        </w:rPr>
        <w:t>under</w:t>
      </w:r>
      <w:r>
        <w:rPr>
          <w:sz w:val="22"/>
          <w:szCs w:val="22"/>
        </w:rPr>
        <w:t xml:space="preserve">-collection </w:t>
      </w:r>
      <w:r w:rsidR="00E91C9F">
        <w:rPr>
          <w:sz w:val="22"/>
          <w:szCs w:val="22"/>
        </w:rPr>
        <w:t>of $0.863 million over the four periods to 30 June 2016</w:t>
      </w:r>
      <w:r>
        <w:rPr>
          <w:sz w:val="22"/>
          <w:szCs w:val="22"/>
        </w:rPr>
        <w:t xml:space="preserve">, the total levy </w:t>
      </w:r>
      <w:r w:rsidR="00E91C9F">
        <w:rPr>
          <w:sz w:val="22"/>
          <w:szCs w:val="22"/>
        </w:rPr>
        <w:t>requirement for 2016/17 to 2018/19</w:t>
      </w:r>
      <w:r w:rsidR="00D53D7E">
        <w:rPr>
          <w:sz w:val="22"/>
          <w:szCs w:val="22"/>
        </w:rPr>
        <w:t xml:space="preserve"> </w:t>
      </w:r>
      <w:r w:rsidR="00E91C9F">
        <w:rPr>
          <w:sz w:val="22"/>
          <w:szCs w:val="22"/>
        </w:rPr>
        <w:t>would be $56</w:t>
      </w:r>
      <w:r w:rsidR="00A76C5B">
        <w:rPr>
          <w:sz w:val="22"/>
          <w:szCs w:val="22"/>
        </w:rPr>
        <w:t>.</w:t>
      </w:r>
      <w:r w:rsidR="00E91C9F">
        <w:rPr>
          <w:sz w:val="22"/>
          <w:szCs w:val="22"/>
        </w:rPr>
        <w:t>202 </w:t>
      </w:r>
      <w:r w:rsidR="00A76C5B">
        <w:rPr>
          <w:sz w:val="22"/>
          <w:szCs w:val="22"/>
        </w:rPr>
        <w:t>million</w:t>
      </w:r>
      <w:r>
        <w:rPr>
          <w:sz w:val="22"/>
          <w:szCs w:val="22"/>
        </w:rPr>
        <w:t>.</w:t>
      </w:r>
      <w:r w:rsidR="00CC0A46">
        <w:rPr>
          <w:sz w:val="22"/>
          <w:szCs w:val="22"/>
        </w:rPr>
        <w:t xml:space="preserve"> </w:t>
      </w:r>
    </w:p>
    <w:p w:rsidR="003B26D2" w:rsidRDefault="003B26D2" w:rsidP="00D60947">
      <w:pPr>
        <w:rPr>
          <w:sz w:val="22"/>
          <w:szCs w:val="22"/>
        </w:rPr>
      </w:pPr>
    </w:p>
    <w:p w:rsidR="00EB0023" w:rsidRDefault="00AD5B44" w:rsidP="00EB0023">
      <w:pPr>
        <w:pStyle w:val="Heading3"/>
      </w:pPr>
      <w:r>
        <w:t>Monitoring and evaluating</w:t>
      </w:r>
      <w:r w:rsidR="00EB0023" w:rsidRPr="00B77D78">
        <w:t xml:space="preserve"> service</w:t>
      </w:r>
      <w:r w:rsidR="00EB0023">
        <w:t xml:space="preserve">s and </w:t>
      </w:r>
      <w:r>
        <w:t xml:space="preserve">the </w:t>
      </w:r>
      <w:r w:rsidR="003F119C">
        <w:t>effectiveness of the S</w:t>
      </w:r>
      <w:r w:rsidR="00EB0023">
        <w:t>trategy</w:t>
      </w:r>
    </w:p>
    <w:p w:rsidR="000C1D32" w:rsidRPr="000C1D32" w:rsidRDefault="00AD5B44" w:rsidP="000859D3">
      <w:pPr>
        <w:numPr>
          <w:ilvl w:val="0"/>
          <w:numId w:val="41"/>
        </w:numPr>
        <w:ind w:left="567" w:hanging="567"/>
        <w:rPr>
          <w:sz w:val="22"/>
          <w:szCs w:val="22"/>
        </w:rPr>
      </w:pPr>
      <w:r>
        <w:rPr>
          <w:sz w:val="22"/>
          <w:szCs w:val="22"/>
        </w:rPr>
        <w:t>The Ministry</w:t>
      </w:r>
      <w:r w:rsidR="000C1D32" w:rsidRPr="000C1D32">
        <w:rPr>
          <w:sz w:val="22"/>
          <w:szCs w:val="22"/>
        </w:rPr>
        <w:t xml:space="preserve"> </w:t>
      </w:r>
      <w:r>
        <w:rPr>
          <w:sz w:val="22"/>
          <w:szCs w:val="22"/>
        </w:rPr>
        <w:t xml:space="preserve">monitors and evaluates the services it purchases </w:t>
      </w:r>
      <w:r w:rsidR="000C1D32" w:rsidRPr="000C1D32">
        <w:rPr>
          <w:sz w:val="22"/>
          <w:szCs w:val="22"/>
        </w:rPr>
        <w:t xml:space="preserve">and the effectiveness of </w:t>
      </w:r>
      <w:r w:rsidR="001756A3">
        <w:rPr>
          <w:sz w:val="22"/>
          <w:szCs w:val="22"/>
        </w:rPr>
        <w:t xml:space="preserve">its </w:t>
      </w:r>
      <w:r w:rsidR="003F119C">
        <w:rPr>
          <w:sz w:val="22"/>
          <w:szCs w:val="22"/>
        </w:rPr>
        <w:t>S</w:t>
      </w:r>
      <w:r w:rsidR="000C1D32" w:rsidRPr="000C1D32">
        <w:rPr>
          <w:sz w:val="22"/>
          <w:szCs w:val="22"/>
        </w:rPr>
        <w:t xml:space="preserve">trategy </w:t>
      </w:r>
      <w:r w:rsidR="003F119C">
        <w:rPr>
          <w:sz w:val="22"/>
          <w:szCs w:val="22"/>
        </w:rPr>
        <w:t>to Prevent and Minimise Gambling H</w:t>
      </w:r>
      <w:r w:rsidR="001756A3">
        <w:rPr>
          <w:sz w:val="22"/>
          <w:szCs w:val="22"/>
        </w:rPr>
        <w:t xml:space="preserve">arm </w:t>
      </w:r>
      <w:r w:rsidR="000C1D32" w:rsidRPr="000C1D32">
        <w:rPr>
          <w:sz w:val="22"/>
          <w:szCs w:val="22"/>
        </w:rPr>
        <w:t xml:space="preserve">largely </w:t>
      </w:r>
      <w:r>
        <w:rPr>
          <w:sz w:val="22"/>
          <w:szCs w:val="22"/>
        </w:rPr>
        <w:t>in</w:t>
      </w:r>
      <w:r w:rsidR="000C1D32" w:rsidRPr="000C1D32">
        <w:rPr>
          <w:sz w:val="22"/>
          <w:szCs w:val="22"/>
        </w:rPr>
        <w:t xml:space="preserve"> two </w:t>
      </w:r>
      <w:r>
        <w:rPr>
          <w:sz w:val="22"/>
          <w:szCs w:val="22"/>
        </w:rPr>
        <w:t>ways</w:t>
      </w:r>
      <w:r w:rsidR="000C1D32" w:rsidRPr="000C1D32">
        <w:rPr>
          <w:sz w:val="22"/>
          <w:szCs w:val="22"/>
        </w:rPr>
        <w:t xml:space="preserve">: </w:t>
      </w:r>
    </w:p>
    <w:p w:rsidR="000C1D32" w:rsidRPr="000C1D32" w:rsidRDefault="00AD5B44" w:rsidP="000859D3">
      <w:pPr>
        <w:numPr>
          <w:ilvl w:val="0"/>
          <w:numId w:val="13"/>
        </w:numPr>
        <w:spacing w:before="120"/>
        <w:ind w:left="993" w:hanging="426"/>
        <w:rPr>
          <w:sz w:val="22"/>
          <w:szCs w:val="22"/>
        </w:rPr>
      </w:pPr>
      <w:r>
        <w:rPr>
          <w:sz w:val="22"/>
          <w:szCs w:val="22"/>
        </w:rPr>
        <w:t xml:space="preserve">through </w:t>
      </w:r>
      <w:r w:rsidR="003F119C">
        <w:rPr>
          <w:sz w:val="22"/>
          <w:szCs w:val="22"/>
        </w:rPr>
        <w:t xml:space="preserve">a </w:t>
      </w:r>
      <w:r w:rsidR="000C1D32" w:rsidRPr="000C1D32">
        <w:rPr>
          <w:sz w:val="22"/>
          <w:szCs w:val="22"/>
        </w:rPr>
        <w:t xml:space="preserve">research and evaluation programme, including evaluations </w:t>
      </w:r>
      <w:r>
        <w:rPr>
          <w:sz w:val="22"/>
          <w:szCs w:val="22"/>
        </w:rPr>
        <w:t xml:space="preserve">of </w:t>
      </w:r>
      <w:r w:rsidR="003F119C">
        <w:rPr>
          <w:sz w:val="22"/>
          <w:szCs w:val="22"/>
        </w:rPr>
        <w:t>both public health and intervention service delivery</w:t>
      </w:r>
      <w:r>
        <w:rPr>
          <w:sz w:val="22"/>
          <w:szCs w:val="22"/>
        </w:rPr>
        <w:t xml:space="preserve">, </w:t>
      </w:r>
      <w:r w:rsidR="000C1D32" w:rsidRPr="000C1D32">
        <w:rPr>
          <w:sz w:val="22"/>
          <w:szCs w:val="22"/>
        </w:rPr>
        <w:t xml:space="preserve">the national gambling study, </w:t>
      </w:r>
      <w:r w:rsidR="003F119C">
        <w:rPr>
          <w:sz w:val="22"/>
          <w:szCs w:val="22"/>
        </w:rPr>
        <w:t xml:space="preserve">clinical trials of telephone and face-to-face interventions, </w:t>
      </w:r>
      <w:r w:rsidR="000C1D32" w:rsidRPr="000C1D32">
        <w:rPr>
          <w:sz w:val="22"/>
          <w:szCs w:val="22"/>
        </w:rPr>
        <w:t>longitudi</w:t>
      </w:r>
      <w:r w:rsidR="003F119C">
        <w:rPr>
          <w:sz w:val="22"/>
          <w:szCs w:val="22"/>
        </w:rPr>
        <w:t>nal studies, and an</w:t>
      </w:r>
      <w:r w:rsidR="000C1D32" w:rsidRPr="000C1D32">
        <w:rPr>
          <w:sz w:val="22"/>
          <w:szCs w:val="22"/>
        </w:rPr>
        <w:t xml:space="preserve"> outcomes monitoring and reporting project</w:t>
      </w:r>
    </w:p>
    <w:p w:rsidR="000C1D32" w:rsidRPr="000C1D32" w:rsidRDefault="00AD5B44" w:rsidP="000859D3">
      <w:pPr>
        <w:numPr>
          <w:ilvl w:val="0"/>
          <w:numId w:val="13"/>
        </w:numPr>
        <w:spacing w:before="120"/>
        <w:ind w:left="993" w:hanging="426"/>
        <w:rPr>
          <w:sz w:val="22"/>
          <w:szCs w:val="22"/>
        </w:rPr>
      </w:pPr>
      <w:r>
        <w:rPr>
          <w:sz w:val="22"/>
          <w:szCs w:val="22"/>
        </w:rPr>
        <w:t xml:space="preserve">through </w:t>
      </w:r>
      <w:r w:rsidR="000C1D32" w:rsidRPr="000C1D32">
        <w:rPr>
          <w:sz w:val="22"/>
          <w:szCs w:val="22"/>
        </w:rPr>
        <w:t>its standard contract management processes, including monthly data collection, six-monthly reporting, routine audits, and verification visits.</w:t>
      </w:r>
    </w:p>
    <w:p w:rsidR="000C1D32" w:rsidRPr="000C1D32" w:rsidRDefault="000C1D32" w:rsidP="000859D3">
      <w:pPr>
        <w:rPr>
          <w:sz w:val="22"/>
          <w:szCs w:val="22"/>
        </w:rPr>
      </w:pPr>
    </w:p>
    <w:p w:rsidR="00276597" w:rsidRDefault="00276597" w:rsidP="00276597">
      <w:pPr>
        <w:pStyle w:val="Heading3"/>
      </w:pPr>
      <w:r>
        <w:lastRenderedPageBreak/>
        <w:t>Other feasible options for the Ministry’s appropriation</w:t>
      </w:r>
    </w:p>
    <w:p w:rsidR="00276597" w:rsidRDefault="00276597" w:rsidP="00674C65">
      <w:pPr>
        <w:keepLines/>
        <w:numPr>
          <w:ilvl w:val="0"/>
          <w:numId w:val="41"/>
        </w:numPr>
        <w:ind w:left="567" w:hanging="567"/>
        <w:rPr>
          <w:sz w:val="22"/>
          <w:szCs w:val="22"/>
        </w:rPr>
      </w:pPr>
      <w:r>
        <w:rPr>
          <w:sz w:val="22"/>
          <w:szCs w:val="22"/>
        </w:rPr>
        <w:t>The Act sets out the process to develop an integrated problem gambling strategy focused on public health, and specifies four elements that this strategy must include.  The Ministry has developed its proposed Strategy to Prevent and Minimise Gambling Harm for 2016/17 to 2018/19 by following the required process.  The Ministry’s proposed Strategy includes the specified minimum content.  The costings for the three-year service plan component of the proposed Strategy determine the proposed appropriation, and the total levy requirement is calculated from that proposed appropriation.</w:t>
      </w:r>
    </w:p>
    <w:p w:rsidR="00276597" w:rsidRDefault="00276597" w:rsidP="00674C65">
      <w:pPr>
        <w:keepLines/>
        <w:rPr>
          <w:sz w:val="22"/>
          <w:szCs w:val="22"/>
        </w:rPr>
      </w:pPr>
    </w:p>
    <w:p w:rsidR="00276597" w:rsidRDefault="00276597" w:rsidP="00276597">
      <w:pPr>
        <w:numPr>
          <w:ilvl w:val="0"/>
          <w:numId w:val="41"/>
        </w:numPr>
        <w:ind w:left="567" w:hanging="567"/>
        <w:rPr>
          <w:sz w:val="22"/>
          <w:szCs w:val="22"/>
        </w:rPr>
      </w:pPr>
      <w:r>
        <w:rPr>
          <w:sz w:val="22"/>
          <w:szCs w:val="22"/>
        </w:rPr>
        <w:t>The proposed Strategy is a refinement of the 2010/11 to 2015/16 six year strategic plan that Cabinet approved in 2010</w:t>
      </w:r>
      <w:r w:rsidRPr="009F4B6E">
        <w:rPr>
          <w:sz w:val="22"/>
          <w:szCs w:val="22"/>
        </w:rPr>
        <w:t xml:space="preserve"> </w:t>
      </w:r>
      <w:r>
        <w:rPr>
          <w:sz w:val="22"/>
          <w:szCs w:val="22"/>
        </w:rPr>
        <w:t>and the three-year service plan that Cabinet approved in 2013.</w:t>
      </w:r>
      <w:r w:rsidR="003B20EE">
        <w:rPr>
          <w:sz w:val="22"/>
          <w:szCs w:val="22"/>
        </w:rPr>
        <w:t xml:space="preserve">  The 2015 Needs Assessment </w:t>
      </w:r>
      <w:r w:rsidR="008F7B51">
        <w:rPr>
          <w:sz w:val="22"/>
          <w:szCs w:val="22"/>
        </w:rPr>
        <w:t xml:space="preserve">developed to support the Ministry’s consultation on its Strategy </w:t>
      </w:r>
      <w:r w:rsidR="003B20EE">
        <w:rPr>
          <w:sz w:val="22"/>
          <w:szCs w:val="22"/>
        </w:rPr>
        <w:t>suggests the needs are largely unchanged.</w:t>
      </w:r>
    </w:p>
    <w:p w:rsidR="00276597" w:rsidRPr="003714CA" w:rsidRDefault="00276597" w:rsidP="00276597">
      <w:pPr>
        <w:rPr>
          <w:sz w:val="22"/>
          <w:szCs w:val="22"/>
        </w:rPr>
      </w:pPr>
    </w:p>
    <w:p w:rsidR="00276597" w:rsidRDefault="00276597" w:rsidP="00276597">
      <w:pPr>
        <w:numPr>
          <w:ilvl w:val="0"/>
          <w:numId w:val="41"/>
        </w:numPr>
        <w:ind w:left="567" w:hanging="567"/>
        <w:rPr>
          <w:sz w:val="22"/>
          <w:szCs w:val="22"/>
        </w:rPr>
      </w:pPr>
      <w:r>
        <w:rPr>
          <w:sz w:val="22"/>
          <w:szCs w:val="22"/>
        </w:rPr>
        <w:t xml:space="preserve">The proposed appropriation is </w:t>
      </w:r>
      <w:r w:rsidR="003B20EE">
        <w:rPr>
          <w:sz w:val="22"/>
          <w:szCs w:val="22"/>
        </w:rPr>
        <w:t xml:space="preserve">the same as </w:t>
      </w:r>
      <w:r>
        <w:rPr>
          <w:sz w:val="22"/>
          <w:szCs w:val="22"/>
        </w:rPr>
        <w:t xml:space="preserve">the amount appropriated for the current levy period and </w:t>
      </w:r>
      <w:r w:rsidR="003B20EE">
        <w:rPr>
          <w:sz w:val="22"/>
          <w:szCs w:val="22"/>
        </w:rPr>
        <w:t xml:space="preserve">lower than the </w:t>
      </w:r>
      <w:r>
        <w:rPr>
          <w:sz w:val="22"/>
          <w:szCs w:val="22"/>
        </w:rPr>
        <w:t>amounts appropriated for the previous two levy periods</w:t>
      </w:r>
      <w:r w:rsidR="003B20EE">
        <w:rPr>
          <w:sz w:val="22"/>
          <w:szCs w:val="22"/>
        </w:rPr>
        <w:t>.  It</w:t>
      </w:r>
      <w:r>
        <w:rPr>
          <w:sz w:val="22"/>
          <w:szCs w:val="22"/>
        </w:rPr>
        <w:t xml:space="preserve"> is lower in real terms than the amount appropriated for the first levy period a decade ago.</w:t>
      </w:r>
    </w:p>
    <w:p w:rsidR="00276597" w:rsidRPr="00A3491C" w:rsidRDefault="00276597" w:rsidP="00276597">
      <w:pPr>
        <w:rPr>
          <w:sz w:val="22"/>
          <w:szCs w:val="22"/>
        </w:rPr>
      </w:pPr>
    </w:p>
    <w:p w:rsidR="00276597" w:rsidRDefault="00276597" w:rsidP="00276597">
      <w:pPr>
        <w:numPr>
          <w:ilvl w:val="0"/>
          <w:numId w:val="41"/>
        </w:numPr>
        <w:ind w:left="567" w:hanging="567"/>
        <w:rPr>
          <w:sz w:val="22"/>
          <w:szCs w:val="22"/>
        </w:rPr>
      </w:pPr>
      <w:r>
        <w:rPr>
          <w:sz w:val="22"/>
          <w:szCs w:val="22"/>
        </w:rPr>
        <w:t xml:space="preserve">Given these points, the Ministry considers that there are no feasible options </w:t>
      </w:r>
      <w:r w:rsidR="00686A38">
        <w:rPr>
          <w:sz w:val="22"/>
          <w:szCs w:val="22"/>
        </w:rPr>
        <w:t xml:space="preserve">to reduce </w:t>
      </w:r>
      <w:r>
        <w:rPr>
          <w:sz w:val="22"/>
          <w:szCs w:val="22"/>
        </w:rPr>
        <w:t xml:space="preserve">the appropriation significantly from the $55.339 million (GST exclusive) amount proposed. </w:t>
      </w:r>
      <w:r w:rsidR="00686A38">
        <w:rPr>
          <w:sz w:val="22"/>
          <w:szCs w:val="22"/>
        </w:rPr>
        <w:t xml:space="preserve"> There might be options that involve a significant increase.  However, the Ministry is confident it can deliver the necessary services, within the proposed appropriation.</w:t>
      </w:r>
    </w:p>
    <w:p w:rsidR="00276597" w:rsidRDefault="00276597" w:rsidP="00276597">
      <w:pPr>
        <w:rPr>
          <w:sz w:val="22"/>
          <w:szCs w:val="22"/>
        </w:rPr>
      </w:pPr>
    </w:p>
    <w:p w:rsidR="00EB0023" w:rsidRDefault="00EB0023" w:rsidP="00EB0023">
      <w:pPr>
        <w:pStyle w:val="Heading3"/>
      </w:pPr>
      <w:r>
        <w:t>Gambling Commission’s independent advice</w:t>
      </w:r>
    </w:p>
    <w:p w:rsidR="00FC77DF" w:rsidRDefault="00DC7A87" w:rsidP="003F119C">
      <w:pPr>
        <w:numPr>
          <w:ilvl w:val="0"/>
          <w:numId w:val="41"/>
        </w:numPr>
        <w:ind w:left="567" w:hanging="567"/>
        <w:rPr>
          <w:sz w:val="22"/>
          <w:szCs w:val="22"/>
        </w:rPr>
      </w:pPr>
      <w:r>
        <w:rPr>
          <w:sz w:val="22"/>
          <w:szCs w:val="22"/>
        </w:rPr>
        <w:t xml:space="preserve">After the Ministry completed its consultation process and revised its initial proposals, </w:t>
      </w:r>
      <w:r w:rsidR="00FF79B2">
        <w:rPr>
          <w:sz w:val="22"/>
          <w:szCs w:val="22"/>
        </w:rPr>
        <w:t xml:space="preserve">the Gambling Commission </w:t>
      </w:r>
      <w:r w:rsidR="00DD0E5A">
        <w:rPr>
          <w:sz w:val="22"/>
          <w:szCs w:val="22"/>
        </w:rPr>
        <w:t xml:space="preserve">(the Commission) </w:t>
      </w:r>
      <w:r w:rsidR="00FF79B2">
        <w:rPr>
          <w:sz w:val="22"/>
          <w:szCs w:val="22"/>
        </w:rPr>
        <w:t>convened a meeting to consult key stakeholders on the proposals</w:t>
      </w:r>
      <w:r>
        <w:rPr>
          <w:sz w:val="22"/>
          <w:szCs w:val="22"/>
        </w:rPr>
        <w:t>,</w:t>
      </w:r>
      <w:r w:rsidRPr="00DC7A87">
        <w:rPr>
          <w:sz w:val="22"/>
          <w:szCs w:val="22"/>
        </w:rPr>
        <w:t xml:space="preserve"> </w:t>
      </w:r>
      <w:r>
        <w:rPr>
          <w:sz w:val="22"/>
          <w:szCs w:val="22"/>
        </w:rPr>
        <w:t>as required by the Act</w:t>
      </w:r>
      <w:r w:rsidR="00FF79B2">
        <w:rPr>
          <w:sz w:val="22"/>
          <w:szCs w:val="22"/>
        </w:rPr>
        <w:t xml:space="preserve">. It also engaged a company to provide it with </w:t>
      </w:r>
      <w:r w:rsidR="00BF2957">
        <w:rPr>
          <w:sz w:val="22"/>
          <w:szCs w:val="22"/>
        </w:rPr>
        <w:t>expert advice</w:t>
      </w:r>
      <w:r w:rsidR="000A10A3">
        <w:rPr>
          <w:sz w:val="22"/>
          <w:szCs w:val="22"/>
        </w:rPr>
        <w:t>, as the Act anticipates it might choose to do</w:t>
      </w:r>
      <w:r w:rsidR="00FF79B2">
        <w:rPr>
          <w:sz w:val="22"/>
          <w:szCs w:val="22"/>
        </w:rPr>
        <w:t xml:space="preserve">. </w:t>
      </w:r>
    </w:p>
    <w:p w:rsidR="00FC77DF" w:rsidRDefault="00FC77DF" w:rsidP="003F119C">
      <w:pPr>
        <w:rPr>
          <w:sz w:val="22"/>
          <w:szCs w:val="22"/>
        </w:rPr>
      </w:pPr>
    </w:p>
    <w:p w:rsidR="00007BD2" w:rsidRPr="002A2E80" w:rsidRDefault="002A2E80" w:rsidP="003F119C">
      <w:pPr>
        <w:numPr>
          <w:ilvl w:val="0"/>
          <w:numId w:val="41"/>
        </w:numPr>
        <w:ind w:left="567" w:hanging="567"/>
        <w:rPr>
          <w:sz w:val="22"/>
          <w:szCs w:val="22"/>
        </w:rPr>
      </w:pPr>
      <w:r>
        <w:rPr>
          <w:sz w:val="22"/>
          <w:szCs w:val="22"/>
        </w:rPr>
        <w:t>In its independent advice to r</w:t>
      </w:r>
      <w:r w:rsidR="00FF79B2" w:rsidRPr="002A2E80">
        <w:rPr>
          <w:sz w:val="22"/>
          <w:szCs w:val="22"/>
        </w:rPr>
        <w:t xml:space="preserve">esponsible Ministers, </w:t>
      </w:r>
      <w:r w:rsidRPr="002A2E80">
        <w:rPr>
          <w:rFonts w:cs="Arial"/>
          <w:sz w:val="22"/>
          <w:szCs w:val="22"/>
        </w:rPr>
        <w:t xml:space="preserve">the Commission endorsed several aspects of the Ministry’s proposed </w:t>
      </w:r>
      <w:r>
        <w:rPr>
          <w:rFonts w:cs="Arial"/>
          <w:sz w:val="22"/>
          <w:szCs w:val="22"/>
        </w:rPr>
        <w:t>Strategy</w:t>
      </w:r>
      <w:r w:rsidRPr="002A2E80">
        <w:rPr>
          <w:rFonts w:cs="Arial"/>
          <w:sz w:val="22"/>
          <w:szCs w:val="22"/>
        </w:rPr>
        <w:t>, said that the proposed budget for Ministry operating costs appeared reasonable, and endorsed the amount the Ministry sought as its appropriation.  It noted the advice of its independent consultants that, in real terms, the proposed appropriation represented a reduction of 11% over the previous six years.  It also noted that its consultant queried the extent to which these cuts could be absorbed beyond the 2016/17 to 2018/19 period while maintaining the same service levels, especially given recent increases in gambling expenditure and help-seeking</w:t>
      </w:r>
      <w:bookmarkStart w:id="34" w:name="_Toc259613866"/>
      <w:r w:rsidR="00BE72D4" w:rsidRPr="002A2E80">
        <w:rPr>
          <w:sz w:val="22"/>
          <w:szCs w:val="22"/>
        </w:rPr>
        <w:t xml:space="preserve"> (Gambling Commission 2015</w:t>
      </w:r>
      <w:r w:rsidR="00126AA4" w:rsidRPr="002A2E80">
        <w:rPr>
          <w:sz w:val="22"/>
          <w:szCs w:val="22"/>
        </w:rPr>
        <w:t>)</w:t>
      </w:r>
      <w:r w:rsidR="00007BD2" w:rsidRPr="002A2E80">
        <w:rPr>
          <w:sz w:val="22"/>
          <w:szCs w:val="22"/>
        </w:rPr>
        <w:t xml:space="preserve">. </w:t>
      </w:r>
    </w:p>
    <w:bookmarkEnd w:id="34"/>
    <w:p w:rsidR="003B26D2" w:rsidRPr="00EB0023" w:rsidRDefault="003B26D2" w:rsidP="003F119C">
      <w:pPr>
        <w:rPr>
          <w:sz w:val="22"/>
          <w:szCs w:val="22"/>
        </w:rPr>
      </w:pPr>
    </w:p>
    <w:p w:rsidR="00111258" w:rsidRPr="00B77D78" w:rsidRDefault="00433867" w:rsidP="003A130D">
      <w:pPr>
        <w:pStyle w:val="Heading2"/>
      </w:pPr>
      <w:bookmarkStart w:id="35" w:name="_Toc440029223"/>
      <w:r>
        <w:t>The levy-paying gambling sectors</w:t>
      </w:r>
      <w:bookmarkEnd w:id="35"/>
    </w:p>
    <w:p w:rsidR="00E520EA" w:rsidRPr="00EE6568" w:rsidRDefault="00E9055B" w:rsidP="00433867">
      <w:pPr>
        <w:numPr>
          <w:ilvl w:val="0"/>
          <w:numId w:val="41"/>
        </w:numPr>
        <w:ind w:left="567" w:hanging="567"/>
        <w:rPr>
          <w:sz w:val="22"/>
          <w:szCs w:val="22"/>
        </w:rPr>
      </w:pPr>
      <w:r w:rsidRPr="00EE6568">
        <w:rPr>
          <w:sz w:val="22"/>
          <w:szCs w:val="22"/>
        </w:rPr>
        <w:t>When it was</w:t>
      </w:r>
      <w:r w:rsidR="00E520EA" w:rsidRPr="00EE6568">
        <w:rPr>
          <w:sz w:val="22"/>
          <w:szCs w:val="22"/>
        </w:rPr>
        <w:t xml:space="preserve"> first set in 2004</w:t>
      </w:r>
      <w:r w:rsidRPr="00EE6568">
        <w:rPr>
          <w:sz w:val="22"/>
          <w:szCs w:val="22"/>
        </w:rPr>
        <w:t>, the levy</w:t>
      </w:r>
      <w:r w:rsidR="00E520EA" w:rsidRPr="00EE6568">
        <w:rPr>
          <w:sz w:val="22"/>
          <w:szCs w:val="22"/>
        </w:rPr>
        <w:t xml:space="preserve"> applied to four gambling sectors:</w:t>
      </w:r>
      <w:r w:rsidR="00EE6568" w:rsidRPr="00EE6568">
        <w:rPr>
          <w:sz w:val="22"/>
          <w:szCs w:val="22"/>
        </w:rPr>
        <w:t xml:space="preserve"> </w:t>
      </w:r>
      <w:r w:rsidR="00E520EA" w:rsidRPr="00EE6568">
        <w:rPr>
          <w:sz w:val="22"/>
          <w:szCs w:val="22"/>
        </w:rPr>
        <w:t>non-casino gaming machine (NCGM) operators</w:t>
      </w:r>
      <w:r w:rsidR="00EE6568" w:rsidRPr="00EE6568">
        <w:rPr>
          <w:sz w:val="22"/>
          <w:szCs w:val="22"/>
        </w:rPr>
        <w:t xml:space="preserve">, </w:t>
      </w:r>
      <w:r w:rsidR="00E520EA" w:rsidRPr="00EE6568">
        <w:rPr>
          <w:sz w:val="22"/>
          <w:szCs w:val="22"/>
        </w:rPr>
        <w:t>casinos</w:t>
      </w:r>
      <w:r w:rsidR="00EE6568" w:rsidRPr="00EE6568">
        <w:rPr>
          <w:sz w:val="22"/>
          <w:szCs w:val="22"/>
        </w:rPr>
        <w:t xml:space="preserve">, </w:t>
      </w:r>
      <w:r w:rsidR="00E520EA" w:rsidRPr="00EE6568">
        <w:rPr>
          <w:sz w:val="22"/>
          <w:szCs w:val="22"/>
        </w:rPr>
        <w:t>the New Zealand Racing Board</w:t>
      </w:r>
      <w:r w:rsidR="006753E6">
        <w:rPr>
          <w:sz w:val="22"/>
          <w:szCs w:val="22"/>
        </w:rPr>
        <w:t xml:space="preserve"> (in respect of its betting products)</w:t>
      </w:r>
      <w:r w:rsidR="00EE6568" w:rsidRPr="00EE6568">
        <w:rPr>
          <w:sz w:val="22"/>
          <w:szCs w:val="22"/>
        </w:rPr>
        <w:t xml:space="preserve">, and </w:t>
      </w:r>
      <w:r w:rsidR="00E520EA" w:rsidRPr="00EE6568">
        <w:rPr>
          <w:sz w:val="22"/>
          <w:szCs w:val="22"/>
        </w:rPr>
        <w:t>the New Zealand Lotteries Commission.</w:t>
      </w:r>
      <w:r w:rsidR="00181019" w:rsidRPr="00EE6568">
        <w:rPr>
          <w:sz w:val="22"/>
          <w:szCs w:val="22"/>
        </w:rPr>
        <w:t xml:space="preserve"> </w:t>
      </w:r>
      <w:r w:rsidR="00E520EA" w:rsidRPr="00EE6568">
        <w:rPr>
          <w:sz w:val="22"/>
          <w:szCs w:val="22"/>
        </w:rPr>
        <w:t>However, the Act also anticipates that these sectors might change from time to time.</w:t>
      </w:r>
      <w:r w:rsidR="00181019" w:rsidRPr="00EE6568">
        <w:rPr>
          <w:sz w:val="22"/>
          <w:szCs w:val="22"/>
        </w:rPr>
        <w:t xml:space="preserve"> [Sections</w:t>
      </w:r>
      <w:r w:rsidR="00D034A7" w:rsidRPr="00EE6568">
        <w:rPr>
          <w:sz w:val="22"/>
          <w:szCs w:val="22"/>
        </w:rPr>
        <w:t> </w:t>
      </w:r>
      <w:r w:rsidR="002562F1" w:rsidRPr="00EE6568">
        <w:rPr>
          <w:sz w:val="22"/>
          <w:szCs w:val="22"/>
        </w:rPr>
        <w:t>319(3)(a)</w:t>
      </w:r>
      <w:r w:rsidR="00181019" w:rsidRPr="00EE6568">
        <w:rPr>
          <w:sz w:val="22"/>
          <w:szCs w:val="22"/>
        </w:rPr>
        <w:t>]</w:t>
      </w:r>
    </w:p>
    <w:p w:rsidR="00E520EA" w:rsidRPr="00050E48" w:rsidRDefault="00E520EA" w:rsidP="00433867">
      <w:pPr>
        <w:rPr>
          <w:sz w:val="22"/>
          <w:szCs w:val="22"/>
        </w:rPr>
      </w:pPr>
    </w:p>
    <w:p w:rsidR="00433867" w:rsidRDefault="00433867" w:rsidP="00433867">
      <w:pPr>
        <w:numPr>
          <w:ilvl w:val="0"/>
          <w:numId w:val="41"/>
        </w:numPr>
        <w:ind w:left="567" w:hanging="567"/>
        <w:rPr>
          <w:sz w:val="22"/>
          <w:szCs w:val="22"/>
        </w:rPr>
      </w:pPr>
      <w:r w:rsidRPr="00433867">
        <w:rPr>
          <w:sz w:val="22"/>
          <w:szCs w:val="22"/>
        </w:rPr>
        <w:t xml:space="preserve">There have been suggestions for some years that club NCGMs should pay a separate levy rate that is lower than the rate for non-club NCGMs.  In 2012, the New Zealand Racing Board suggested that its NCGMs should also pay a lower rate.  </w:t>
      </w:r>
      <w:r>
        <w:rPr>
          <w:sz w:val="22"/>
          <w:szCs w:val="22"/>
        </w:rPr>
        <w:t>This issue was discussed in the course of the 2012 consultation process.  For a variety of reasons, the decision was made not to change the levy-paying gambling sectors.  Subsequent litigation challenging the process to arrive at this decision was unsuccessful.</w:t>
      </w:r>
    </w:p>
    <w:p w:rsidR="00433867" w:rsidRDefault="00433867" w:rsidP="00433867">
      <w:pPr>
        <w:rPr>
          <w:sz w:val="22"/>
          <w:szCs w:val="22"/>
        </w:rPr>
      </w:pPr>
    </w:p>
    <w:p w:rsidR="00433867" w:rsidRDefault="00433867" w:rsidP="00433867">
      <w:pPr>
        <w:numPr>
          <w:ilvl w:val="0"/>
          <w:numId w:val="41"/>
        </w:numPr>
        <w:ind w:left="567" w:hanging="567"/>
        <w:rPr>
          <w:sz w:val="22"/>
          <w:szCs w:val="22"/>
        </w:rPr>
      </w:pPr>
      <w:r w:rsidRPr="00433867">
        <w:rPr>
          <w:sz w:val="22"/>
          <w:szCs w:val="22"/>
        </w:rPr>
        <w:t>The Ministry discussed thi</w:t>
      </w:r>
      <w:r>
        <w:rPr>
          <w:sz w:val="22"/>
          <w:szCs w:val="22"/>
        </w:rPr>
        <w:t>s issue again,</w:t>
      </w:r>
      <w:r w:rsidRPr="00433867">
        <w:rPr>
          <w:sz w:val="22"/>
          <w:szCs w:val="22"/>
        </w:rPr>
        <w:t xml:space="preserve"> in detail, in its 2015 consultation document.  It concluded that, on balance, the availa</w:t>
      </w:r>
      <w:r>
        <w:rPr>
          <w:sz w:val="22"/>
          <w:szCs w:val="22"/>
        </w:rPr>
        <w:t xml:space="preserve">ble evidence </w:t>
      </w:r>
      <w:r w:rsidR="00686A38">
        <w:rPr>
          <w:sz w:val="22"/>
          <w:szCs w:val="22"/>
        </w:rPr>
        <w:t>does not support</w:t>
      </w:r>
      <w:r w:rsidRPr="00433867">
        <w:rPr>
          <w:sz w:val="22"/>
          <w:szCs w:val="22"/>
        </w:rPr>
        <w:t xml:space="preserve"> the club proposal</w:t>
      </w:r>
      <w:r w:rsidR="00F06A8B">
        <w:rPr>
          <w:sz w:val="22"/>
          <w:szCs w:val="22"/>
        </w:rPr>
        <w:t>. I</w:t>
      </w:r>
      <w:r w:rsidRPr="00433867">
        <w:rPr>
          <w:sz w:val="22"/>
          <w:szCs w:val="22"/>
        </w:rPr>
        <w:t>t said that it was not aware of any evidence in support of the New Zealand Racing Board proposal.  It also noted that if club NCGMs were a separate sector, applying t</w:t>
      </w:r>
      <w:r w:rsidR="00CD21C1">
        <w:rPr>
          <w:sz w:val="22"/>
          <w:szCs w:val="22"/>
        </w:rPr>
        <w:t>he Act’s formula for calculating the</w:t>
      </w:r>
      <w:r w:rsidRPr="00433867">
        <w:rPr>
          <w:sz w:val="22"/>
          <w:szCs w:val="22"/>
        </w:rPr>
        <w:t xml:space="preserve"> levy rates would mean that club NCGMs would actually pay a higher levy rate than non-club NCGMs.  </w:t>
      </w:r>
      <w:r w:rsidR="00F06A8B">
        <w:rPr>
          <w:sz w:val="22"/>
          <w:szCs w:val="22"/>
        </w:rPr>
        <w:t>It referred to the significant time and costs involved in implementing a separate levy rate.  None of the submissions seriously challenged these points.</w:t>
      </w:r>
    </w:p>
    <w:p w:rsidR="00262F5A" w:rsidRDefault="00262F5A" w:rsidP="00262F5A">
      <w:pPr>
        <w:rPr>
          <w:sz w:val="22"/>
          <w:szCs w:val="22"/>
        </w:rPr>
      </w:pPr>
    </w:p>
    <w:p w:rsidR="00262F5A" w:rsidRDefault="007A1DBD" w:rsidP="00262F5A">
      <w:pPr>
        <w:numPr>
          <w:ilvl w:val="0"/>
          <w:numId w:val="41"/>
        </w:numPr>
        <w:ind w:left="567" w:hanging="567"/>
        <w:rPr>
          <w:sz w:val="22"/>
          <w:szCs w:val="22"/>
        </w:rPr>
      </w:pPr>
      <w:r>
        <w:rPr>
          <w:sz w:val="22"/>
          <w:szCs w:val="22"/>
        </w:rPr>
        <w:t>T</w:t>
      </w:r>
      <w:r w:rsidR="00E864E9">
        <w:rPr>
          <w:sz w:val="22"/>
          <w:szCs w:val="22"/>
        </w:rPr>
        <w:t>he pr</w:t>
      </w:r>
      <w:r w:rsidR="003639C8">
        <w:rPr>
          <w:sz w:val="22"/>
          <w:szCs w:val="22"/>
        </w:rPr>
        <w:t>eferred option is that the levy-paying sectors remain the same</w:t>
      </w:r>
      <w:r w:rsidR="00E864E9">
        <w:rPr>
          <w:sz w:val="22"/>
          <w:szCs w:val="22"/>
        </w:rPr>
        <w:t xml:space="preserve">. </w:t>
      </w:r>
      <w:r w:rsidR="00262F5A">
        <w:rPr>
          <w:sz w:val="22"/>
          <w:szCs w:val="22"/>
        </w:rPr>
        <w:t xml:space="preserve"> </w:t>
      </w:r>
      <w:r w:rsidR="00E864E9">
        <w:rPr>
          <w:sz w:val="22"/>
          <w:szCs w:val="22"/>
        </w:rPr>
        <w:t xml:space="preserve">This means that clubs </w:t>
      </w:r>
      <w:r w:rsidR="00F54669">
        <w:rPr>
          <w:sz w:val="22"/>
          <w:szCs w:val="22"/>
        </w:rPr>
        <w:t xml:space="preserve">and the New Zealand Racing Board </w:t>
      </w:r>
      <w:r w:rsidR="00E864E9">
        <w:rPr>
          <w:sz w:val="22"/>
          <w:szCs w:val="22"/>
        </w:rPr>
        <w:t xml:space="preserve">would pay the same levy rate </w:t>
      </w:r>
      <w:r w:rsidR="00F54669">
        <w:rPr>
          <w:sz w:val="22"/>
          <w:szCs w:val="22"/>
        </w:rPr>
        <w:t xml:space="preserve">for </w:t>
      </w:r>
      <w:r w:rsidR="009518AA">
        <w:rPr>
          <w:sz w:val="22"/>
          <w:szCs w:val="22"/>
        </w:rPr>
        <w:t xml:space="preserve">spending on </w:t>
      </w:r>
      <w:r w:rsidR="00F54669">
        <w:rPr>
          <w:sz w:val="22"/>
          <w:szCs w:val="22"/>
        </w:rPr>
        <w:t xml:space="preserve">their machines </w:t>
      </w:r>
      <w:r w:rsidR="00E864E9">
        <w:rPr>
          <w:sz w:val="22"/>
          <w:szCs w:val="22"/>
        </w:rPr>
        <w:t xml:space="preserve">as operators of machines in pubs. </w:t>
      </w:r>
      <w:r w:rsidR="00262F5A">
        <w:rPr>
          <w:sz w:val="22"/>
          <w:szCs w:val="22"/>
        </w:rPr>
        <w:t xml:space="preserve"> </w:t>
      </w:r>
      <w:r w:rsidR="00262F5A" w:rsidRPr="00433867">
        <w:rPr>
          <w:sz w:val="22"/>
          <w:szCs w:val="22"/>
        </w:rPr>
        <w:t xml:space="preserve">It is worth noting that even without splitting the NCGM sector, non-club NCGMs will pay around seven times as much as club NCGMs.  </w:t>
      </w:r>
      <w:r w:rsidR="00F06A8B">
        <w:rPr>
          <w:sz w:val="22"/>
          <w:szCs w:val="22"/>
        </w:rPr>
        <w:t>This is because gamblers spend around s</w:t>
      </w:r>
      <w:r w:rsidR="00262F5A" w:rsidRPr="00433867">
        <w:rPr>
          <w:sz w:val="22"/>
          <w:szCs w:val="22"/>
        </w:rPr>
        <w:t>even times more on non-club NCGMs an</w:t>
      </w:r>
      <w:r w:rsidR="00686A38">
        <w:rPr>
          <w:sz w:val="22"/>
          <w:szCs w:val="22"/>
        </w:rPr>
        <w:t>d the levy rates, including the NCGM levy rate, are</w:t>
      </w:r>
      <w:r w:rsidR="00262F5A" w:rsidRPr="00433867">
        <w:rPr>
          <w:sz w:val="22"/>
          <w:szCs w:val="22"/>
        </w:rPr>
        <w:t xml:space="preserve"> percentages of expenditure.</w:t>
      </w:r>
    </w:p>
    <w:p w:rsidR="00E864E9" w:rsidRDefault="00E864E9" w:rsidP="00262F5A">
      <w:pPr>
        <w:rPr>
          <w:sz w:val="22"/>
          <w:szCs w:val="22"/>
        </w:rPr>
      </w:pPr>
    </w:p>
    <w:p w:rsidR="00E864E9" w:rsidRDefault="00E864E9" w:rsidP="00E864E9">
      <w:pPr>
        <w:pStyle w:val="Heading3"/>
      </w:pPr>
      <w:r>
        <w:t>Gambling Commission’s independent advice</w:t>
      </w:r>
    </w:p>
    <w:p w:rsidR="00262F5A" w:rsidRPr="00433867" w:rsidRDefault="00262F5A" w:rsidP="00262F5A">
      <w:pPr>
        <w:numPr>
          <w:ilvl w:val="0"/>
          <w:numId w:val="41"/>
        </w:numPr>
        <w:ind w:left="567" w:hanging="567"/>
        <w:rPr>
          <w:sz w:val="22"/>
          <w:szCs w:val="22"/>
        </w:rPr>
      </w:pPr>
      <w:r w:rsidRPr="00433867">
        <w:rPr>
          <w:sz w:val="22"/>
          <w:szCs w:val="22"/>
        </w:rPr>
        <w:t>The Gambling Commission agreed with the Ministry that there is no compelling reason to split the NCGM sector.  It also discussed help-seeking that is attributable to sectors other than the four current levy-paying sectors.  It noted that while this category makes up about 10% of help-seeking, the category consists of multiple small sectors rather than one easily-levied sector.  As a result, the Gambling Commission confined its levy recommendations to the four existing levy-paying sectors.</w:t>
      </w:r>
    </w:p>
    <w:p w:rsidR="008363A3" w:rsidRDefault="008363A3" w:rsidP="00E520EA">
      <w:pPr>
        <w:rPr>
          <w:sz w:val="22"/>
          <w:szCs w:val="22"/>
        </w:rPr>
      </w:pPr>
    </w:p>
    <w:p w:rsidR="00F57A5B" w:rsidRPr="00B77D78" w:rsidRDefault="00E52D79" w:rsidP="00F57A5B">
      <w:pPr>
        <w:pStyle w:val="Heading2"/>
      </w:pPr>
      <w:bookmarkStart w:id="36" w:name="_Toc440029224"/>
      <w:r>
        <w:t>The w</w:t>
      </w:r>
      <w:r w:rsidR="00BA1FD4">
        <w:t xml:space="preserve">eighting and </w:t>
      </w:r>
      <w:r>
        <w:t xml:space="preserve">the </w:t>
      </w:r>
      <w:r w:rsidR="00BA1FD4">
        <w:t>resulting levy rates</w:t>
      </w:r>
      <w:bookmarkEnd w:id="36"/>
    </w:p>
    <w:p w:rsidR="00A468E3" w:rsidRPr="003A5BB9" w:rsidRDefault="00A468E3" w:rsidP="003A5BB9">
      <w:pPr>
        <w:numPr>
          <w:ilvl w:val="0"/>
          <w:numId w:val="41"/>
        </w:numPr>
        <w:ind w:left="567" w:hanging="567"/>
        <w:rPr>
          <w:sz w:val="22"/>
          <w:szCs w:val="22"/>
        </w:rPr>
      </w:pPr>
      <w:r w:rsidRPr="00A468E3">
        <w:rPr>
          <w:sz w:val="22"/>
          <w:szCs w:val="22"/>
        </w:rPr>
        <w:t xml:space="preserve">The levy formula in section 320 of the Act helps calculate </w:t>
      </w:r>
      <w:r w:rsidR="00E52D79">
        <w:rPr>
          <w:sz w:val="22"/>
          <w:szCs w:val="22"/>
        </w:rPr>
        <w:t xml:space="preserve">the approximate amount </w:t>
      </w:r>
      <w:r w:rsidRPr="00A468E3">
        <w:rPr>
          <w:sz w:val="22"/>
          <w:szCs w:val="22"/>
        </w:rPr>
        <w:t xml:space="preserve">each </w:t>
      </w:r>
      <w:r w:rsidR="00E52D79">
        <w:rPr>
          <w:sz w:val="22"/>
          <w:szCs w:val="22"/>
        </w:rPr>
        <w:t xml:space="preserve">levy-paying </w:t>
      </w:r>
      <w:r w:rsidRPr="00A468E3">
        <w:rPr>
          <w:sz w:val="22"/>
          <w:szCs w:val="22"/>
        </w:rPr>
        <w:t xml:space="preserve">gambling sector is expected to pay towards the total levy </w:t>
      </w:r>
      <w:r w:rsidR="00E52D79">
        <w:rPr>
          <w:sz w:val="22"/>
          <w:szCs w:val="22"/>
        </w:rPr>
        <w:t>requirement</w:t>
      </w:r>
      <w:r w:rsidRPr="00A468E3">
        <w:rPr>
          <w:sz w:val="22"/>
          <w:szCs w:val="22"/>
        </w:rPr>
        <w:t xml:space="preserve">, and the levy rate necessary for each sector to raise its expected contribution. </w:t>
      </w:r>
      <w:r w:rsidR="003A5BB9">
        <w:rPr>
          <w:sz w:val="22"/>
          <w:szCs w:val="22"/>
        </w:rPr>
        <w:t xml:space="preserve"> </w:t>
      </w:r>
      <w:r w:rsidRPr="003A5BB9">
        <w:rPr>
          <w:rFonts w:cs="Arial"/>
          <w:sz w:val="22"/>
          <w:szCs w:val="22"/>
        </w:rPr>
        <w:t>The formula is:</w:t>
      </w:r>
    </w:p>
    <w:p w:rsidR="00A468E3" w:rsidRPr="00A468E3" w:rsidRDefault="00A468E3" w:rsidP="00E52D79">
      <w:pPr>
        <w:spacing w:before="120"/>
        <w:ind w:left="720"/>
        <w:rPr>
          <w:rFonts w:cs="Arial"/>
          <w:i/>
          <w:sz w:val="22"/>
          <w:szCs w:val="22"/>
        </w:rPr>
      </w:pPr>
      <w:r w:rsidRPr="00A468E3">
        <w:rPr>
          <w:rFonts w:cs="Arial"/>
          <w:i/>
          <w:sz w:val="22"/>
          <w:szCs w:val="22"/>
        </w:rPr>
        <w:t xml:space="preserve">Levy rate = </w:t>
      </w:r>
      <w:r w:rsidRPr="00A468E3">
        <w:rPr>
          <w:rFonts w:cs="Arial"/>
          <w:i/>
          <w:sz w:val="22"/>
          <w:szCs w:val="22"/>
          <w:u w:val="single"/>
        </w:rPr>
        <w:t>(((A x W</w:t>
      </w:r>
      <w:r w:rsidRPr="00E03512">
        <w:rPr>
          <w:rFonts w:cs="Arial"/>
          <w:i/>
          <w:sz w:val="22"/>
          <w:szCs w:val="22"/>
          <w:u w:val="single"/>
          <w:vertAlign w:val="subscript"/>
        </w:rPr>
        <w:t>1</w:t>
      </w:r>
      <w:r w:rsidRPr="00A468E3">
        <w:rPr>
          <w:rFonts w:cs="Arial"/>
          <w:i/>
          <w:sz w:val="22"/>
          <w:szCs w:val="22"/>
          <w:u w:val="single"/>
        </w:rPr>
        <w:t>) + (B x W</w:t>
      </w:r>
      <w:r w:rsidRPr="00E03512">
        <w:rPr>
          <w:rFonts w:cs="Arial"/>
          <w:i/>
          <w:sz w:val="22"/>
          <w:szCs w:val="22"/>
          <w:u w:val="single"/>
          <w:vertAlign w:val="subscript"/>
        </w:rPr>
        <w:t>2</w:t>
      </w:r>
      <w:r w:rsidRPr="00A468E3">
        <w:rPr>
          <w:rFonts w:cs="Arial"/>
          <w:i/>
          <w:sz w:val="22"/>
          <w:szCs w:val="22"/>
          <w:u w:val="single"/>
        </w:rPr>
        <w:t>)) x C)</w:t>
      </w:r>
      <w:r w:rsidR="00E52D79">
        <w:rPr>
          <w:rFonts w:cs="Arial"/>
          <w:i/>
          <w:sz w:val="22"/>
          <w:szCs w:val="22"/>
          <w:u w:val="single"/>
        </w:rPr>
        <w:t xml:space="preserve"> plus or minus R</w:t>
      </w:r>
    </w:p>
    <w:p w:rsidR="00A468E3" w:rsidRPr="00A468E3" w:rsidRDefault="00A468E3" w:rsidP="00E52D79">
      <w:pPr>
        <w:tabs>
          <w:tab w:val="center" w:pos="3261"/>
        </w:tabs>
        <w:ind w:left="153"/>
        <w:rPr>
          <w:rFonts w:cs="Arial"/>
          <w:i/>
          <w:sz w:val="22"/>
          <w:szCs w:val="22"/>
        </w:rPr>
      </w:pPr>
      <w:r w:rsidRPr="00A468E3">
        <w:rPr>
          <w:rFonts w:cs="Arial"/>
          <w:i/>
          <w:sz w:val="22"/>
          <w:szCs w:val="22"/>
        </w:rPr>
        <w:tab/>
        <w:t>D</w:t>
      </w:r>
    </w:p>
    <w:p w:rsidR="00A468E3" w:rsidRPr="00A468E3" w:rsidRDefault="00A468E3" w:rsidP="00E52D79">
      <w:pPr>
        <w:ind w:left="720"/>
        <w:rPr>
          <w:rFonts w:cs="Arial"/>
          <w:i/>
          <w:sz w:val="22"/>
          <w:szCs w:val="22"/>
        </w:rPr>
      </w:pPr>
      <w:r w:rsidRPr="00A468E3">
        <w:rPr>
          <w:rFonts w:cs="Arial"/>
          <w:i/>
          <w:sz w:val="22"/>
          <w:szCs w:val="22"/>
        </w:rPr>
        <w:t>where:</w:t>
      </w:r>
    </w:p>
    <w:p w:rsidR="00A468E3" w:rsidRPr="00A468E3" w:rsidRDefault="00A468E3" w:rsidP="00E52D79">
      <w:pPr>
        <w:spacing w:before="120"/>
        <w:ind w:left="720"/>
        <w:rPr>
          <w:rFonts w:cs="Arial"/>
          <w:i/>
          <w:sz w:val="22"/>
          <w:szCs w:val="22"/>
        </w:rPr>
      </w:pPr>
      <w:r w:rsidRPr="00A468E3">
        <w:rPr>
          <w:rFonts w:cs="Arial"/>
          <w:b/>
          <w:bCs/>
          <w:i/>
          <w:sz w:val="22"/>
          <w:szCs w:val="22"/>
        </w:rPr>
        <w:t>A</w:t>
      </w:r>
      <w:r w:rsidRPr="00A468E3">
        <w:rPr>
          <w:rFonts w:cs="Arial"/>
          <w:i/>
          <w:sz w:val="22"/>
          <w:szCs w:val="22"/>
        </w:rPr>
        <w:t xml:space="preserve"> = estimated current player expenditure in a sector, divided by the total estimated current player expenditure in all sectors subject to the levy</w:t>
      </w:r>
    </w:p>
    <w:p w:rsidR="00A468E3" w:rsidRPr="00A468E3" w:rsidRDefault="00A468E3" w:rsidP="00E52D79">
      <w:pPr>
        <w:spacing w:before="120"/>
        <w:ind w:left="720"/>
        <w:rPr>
          <w:rFonts w:cs="Arial"/>
          <w:i/>
          <w:sz w:val="22"/>
          <w:szCs w:val="22"/>
        </w:rPr>
      </w:pPr>
      <w:r w:rsidRPr="00A468E3">
        <w:rPr>
          <w:rFonts w:cs="Arial"/>
          <w:b/>
          <w:bCs/>
          <w:i/>
          <w:sz w:val="22"/>
          <w:szCs w:val="22"/>
        </w:rPr>
        <w:t>B</w:t>
      </w:r>
      <w:r w:rsidRPr="00A468E3">
        <w:rPr>
          <w:rFonts w:cs="Arial"/>
          <w:i/>
          <w:sz w:val="22"/>
          <w:szCs w:val="22"/>
        </w:rPr>
        <w:t xml:space="preserve"> = the number of customer presentations to problem gambling services that can be attributed to gambling in a sector, divided by the total number of customer presentations to problem gambling services in which a sector that is subject to the levy can be identified</w:t>
      </w:r>
    </w:p>
    <w:p w:rsidR="00A468E3" w:rsidRPr="00A468E3" w:rsidRDefault="00A468E3" w:rsidP="00E52D79">
      <w:pPr>
        <w:spacing w:before="120"/>
        <w:ind w:left="720"/>
        <w:rPr>
          <w:rFonts w:cs="Arial"/>
          <w:i/>
          <w:sz w:val="22"/>
          <w:szCs w:val="22"/>
        </w:rPr>
      </w:pPr>
      <w:r w:rsidRPr="00A468E3">
        <w:rPr>
          <w:rFonts w:cs="Arial"/>
          <w:b/>
          <w:bCs/>
          <w:i/>
          <w:sz w:val="22"/>
          <w:szCs w:val="22"/>
        </w:rPr>
        <w:t>C</w:t>
      </w:r>
      <w:r w:rsidRPr="00A468E3">
        <w:rPr>
          <w:rFonts w:cs="Arial"/>
          <w:i/>
          <w:sz w:val="22"/>
          <w:szCs w:val="22"/>
        </w:rPr>
        <w:t xml:space="preserve"> = the funding requirement for the period</w:t>
      </w:r>
      <w:r w:rsidR="00E03512">
        <w:rPr>
          <w:rFonts w:cs="Arial"/>
          <w:i/>
          <w:sz w:val="22"/>
          <w:szCs w:val="22"/>
        </w:rPr>
        <w:t xml:space="preserve"> for which the levy is payable</w:t>
      </w:r>
    </w:p>
    <w:p w:rsidR="00A468E3" w:rsidRPr="00A468E3" w:rsidRDefault="00A468E3" w:rsidP="00E52D79">
      <w:pPr>
        <w:spacing w:before="120"/>
        <w:ind w:left="720"/>
        <w:rPr>
          <w:rFonts w:cs="Arial"/>
          <w:i/>
          <w:sz w:val="22"/>
          <w:szCs w:val="22"/>
        </w:rPr>
      </w:pPr>
      <w:r w:rsidRPr="00A468E3">
        <w:rPr>
          <w:rFonts w:cs="Arial"/>
          <w:b/>
          <w:bCs/>
          <w:i/>
          <w:sz w:val="22"/>
          <w:szCs w:val="22"/>
        </w:rPr>
        <w:t>D</w:t>
      </w:r>
      <w:r w:rsidRPr="00A468E3">
        <w:rPr>
          <w:rFonts w:cs="Arial"/>
          <w:i/>
          <w:sz w:val="22"/>
          <w:szCs w:val="22"/>
        </w:rPr>
        <w:t xml:space="preserve"> = forecast player expenditure in a sector for the period d</w:t>
      </w:r>
      <w:r w:rsidR="00E52D79">
        <w:rPr>
          <w:rFonts w:cs="Arial"/>
          <w:i/>
          <w:sz w:val="22"/>
          <w:szCs w:val="22"/>
        </w:rPr>
        <w:t>uring which the levy is payable</w:t>
      </w:r>
    </w:p>
    <w:p w:rsidR="00E52D79" w:rsidRPr="00A468E3" w:rsidRDefault="00E52D79" w:rsidP="00E52D79">
      <w:pPr>
        <w:spacing w:before="120"/>
        <w:ind w:left="720"/>
        <w:rPr>
          <w:rFonts w:cs="Arial"/>
          <w:i/>
          <w:sz w:val="22"/>
          <w:szCs w:val="22"/>
        </w:rPr>
      </w:pPr>
      <w:r>
        <w:rPr>
          <w:rFonts w:cs="Arial"/>
          <w:b/>
          <w:bCs/>
          <w:i/>
          <w:sz w:val="22"/>
          <w:szCs w:val="22"/>
        </w:rPr>
        <w:t>R</w:t>
      </w:r>
      <w:r w:rsidRPr="00A468E3">
        <w:rPr>
          <w:rFonts w:cs="Arial"/>
          <w:i/>
          <w:sz w:val="22"/>
          <w:szCs w:val="22"/>
        </w:rPr>
        <w:t xml:space="preserve"> = </w:t>
      </w:r>
      <w:r>
        <w:rPr>
          <w:rFonts w:cs="Arial"/>
          <w:i/>
          <w:sz w:val="22"/>
          <w:szCs w:val="22"/>
        </w:rPr>
        <w:t>estimated under-recovery or over-recovery of levy from a sector in previous levy periods</w:t>
      </w:r>
    </w:p>
    <w:p w:rsidR="00A468E3" w:rsidRPr="00A468E3" w:rsidRDefault="00A468E3" w:rsidP="00E52D79">
      <w:pPr>
        <w:spacing w:before="120"/>
        <w:ind w:left="720"/>
        <w:rPr>
          <w:rFonts w:cs="Arial"/>
          <w:i/>
          <w:sz w:val="22"/>
          <w:szCs w:val="22"/>
        </w:rPr>
      </w:pPr>
      <w:r w:rsidRPr="00A468E3">
        <w:rPr>
          <w:rFonts w:cs="Arial"/>
          <w:b/>
          <w:bCs/>
          <w:i/>
          <w:sz w:val="22"/>
          <w:szCs w:val="22"/>
        </w:rPr>
        <w:t>W</w:t>
      </w:r>
      <w:r w:rsidRPr="00E03512">
        <w:rPr>
          <w:rFonts w:cs="Arial"/>
          <w:b/>
          <w:bCs/>
          <w:i/>
          <w:sz w:val="22"/>
          <w:szCs w:val="22"/>
          <w:vertAlign w:val="subscript"/>
        </w:rPr>
        <w:t>1</w:t>
      </w:r>
      <w:r w:rsidRPr="00A468E3">
        <w:rPr>
          <w:rFonts w:cs="Arial"/>
          <w:i/>
          <w:sz w:val="22"/>
          <w:szCs w:val="22"/>
        </w:rPr>
        <w:t xml:space="preserve"> and </w:t>
      </w:r>
      <w:r w:rsidRPr="00A468E3">
        <w:rPr>
          <w:rFonts w:cs="Arial"/>
          <w:b/>
          <w:bCs/>
          <w:i/>
          <w:sz w:val="22"/>
          <w:szCs w:val="22"/>
        </w:rPr>
        <w:t>W</w:t>
      </w:r>
      <w:r w:rsidRPr="00E03512">
        <w:rPr>
          <w:rFonts w:cs="Arial"/>
          <w:b/>
          <w:bCs/>
          <w:i/>
          <w:sz w:val="22"/>
          <w:szCs w:val="22"/>
          <w:vertAlign w:val="subscript"/>
        </w:rPr>
        <w:t>2</w:t>
      </w:r>
      <w:r w:rsidRPr="00A468E3">
        <w:rPr>
          <w:rFonts w:cs="Arial"/>
          <w:i/>
          <w:sz w:val="22"/>
          <w:szCs w:val="22"/>
        </w:rPr>
        <w:t xml:space="preserve"> are weights, the sum of which is 1.</w:t>
      </w:r>
    </w:p>
    <w:p w:rsidR="00A468E3" w:rsidRPr="00A468E3" w:rsidRDefault="00A468E3" w:rsidP="00E52D79">
      <w:pPr>
        <w:tabs>
          <w:tab w:val="left" w:pos="709"/>
        </w:tabs>
        <w:rPr>
          <w:rFonts w:cs="Arial"/>
          <w:sz w:val="22"/>
          <w:szCs w:val="22"/>
        </w:rPr>
      </w:pPr>
    </w:p>
    <w:p w:rsidR="00E03512" w:rsidRPr="00E03512" w:rsidRDefault="00E03512" w:rsidP="00E52D79">
      <w:pPr>
        <w:numPr>
          <w:ilvl w:val="0"/>
          <w:numId w:val="41"/>
        </w:numPr>
        <w:ind w:left="567" w:hanging="567"/>
        <w:rPr>
          <w:sz w:val="22"/>
          <w:szCs w:val="22"/>
        </w:rPr>
      </w:pPr>
      <w:r>
        <w:rPr>
          <w:rFonts w:cs="Arial"/>
          <w:sz w:val="22"/>
          <w:szCs w:val="22"/>
        </w:rPr>
        <w:t xml:space="preserve">The variable </w:t>
      </w:r>
      <w:r w:rsidRPr="00E03512">
        <w:rPr>
          <w:rFonts w:cs="Arial"/>
          <w:b/>
          <w:sz w:val="22"/>
          <w:szCs w:val="22"/>
        </w:rPr>
        <w:t>R</w:t>
      </w:r>
      <w:r>
        <w:rPr>
          <w:rFonts w:cs="Arial"/>
          <w:sz w:val="22"/>
          <w:szCs w:val="22"/>
        </w:rPr>
        <w:t xml:space="preserve"> was added to the formula by the Gambling Amendment Act</w:t>
      </w:r>
      <w:r w:rsidR="00B66901">
        <w:rPr>
          <w:rFonts w:cs="Arial"/>
          <w:sz w:val="22"/>
          <w:szCs w:val="22"/>
        </w:rPr>
        <w:t xml:space="preserve"> </w:t>
      </w:r>
      <w:r>
        <w:rPr>
          <w:rFonts w:cs="Arial"/>
          <w:sz w:val="22"/>
          <w:szCs w:val="22"/>
        </w:rPr>
        <w:t>2015, which came into effect on 3 March 2015.</w:t>
      </w:r>
    </w:p>
    <w:p w:rsidR="00E03512" w:rsidRPr="00E03512" w:rsidRDefault="00E03512" w:rsidP="00E03512">
      <w:pPr>
        <w:rPr>
          <w:sz w:val="22"/>
          <w:szCs w:val="22"/>
        </w:rPr>
      </w:pPr>
    </w:p>
    <w:p w:rsidR="003D102E" w:rsidRPr="003D102E" w:rsidRDefault="003D102E" w:rsidP="003D102E">
      <w:pPr>
        <w:numPr>
          <w:ilvl w:val="0"/>
          <w:numId w:val="41"/>
        </w:numPr>
        <w:ind w:left="567" w:hanging="567"/>
        <w:rPr>
          <w:sz w:val="22"/>
          <w:szCs w:val="22"/>
        </w:rPr>
      </w:pPr>
      <w:r>
        <w:rPr>
          <w:rFonts w:cs="Arial"/>
          <w:sz w:val="22"/>
          <w:szCs w:val="22"/>
        </w:rPr>
        <w:lastRenderedPageBreak/>
        <w:t>The top line</w:t>
      </w:r>
      <w:r w:rsidRPr="003A5BB9">
        <w:rPr>
          <w:rFonts w:cs="Arial"/>
          <w:sz w:val="22"/>
          <w:szCs w:val="22"/>
        </w:rPr>
        <w:t xml:space="preserve"> </w:t>
      </w:r>
      <w:r>
        <w:rPr>
          <w:rFonts w:cs="Arial"/>
          <w:sz w:val="22"/>
          <w:szCs w:val="22"/>
        </w:rPr>
        <w:t xml:space="preserve">of the formula </w:t>
      </w:r>
      <w:r w:rsidRPr="003A5BB9">
        <w:rPr>
          <w:rFonts w:cs="Arial"/>
          <w:sz w:val="22"/>
          <w:szCs w:val="22"/>
        </w:rPr>
        <w:t xml:space="preserve">as a whole determines the approximate dollar amount each sector will be expected to pay towards the total levy requirement, taking into account any under-recovery or over-recovery of levy </w:t>
      </w:r>
      <w:r>
        <w:rPr>
          <w:rFonts w:cs="Arial"/>
          <w:sz w:val="22"/>
          <w:szCs w:val="22"/>
        </w:rPr>
        <w:t xml:space="preserve">from that sector </w:t>
      </w:r>
      <w:r w:rsidRPr="003A5BB9">
        <w:rPr>
          <w:rFonts w:cs="Arial"/>
          <w:sz w:val="22"/>
          <w:szCs w:val="22"/>
        </w:rPr>
        <w:t xml:space="preserve">in previous levy periods. </w:t>
      </w:r>
    </w:p>
    <w:p w:rsidR="003D102E" w:rsidRPr="003D102E" w:rsidRDefault="003D102E" w:rsidP="003D102E">
      <w:pPr>
        <w:rPr>
          <w:sz w:val="22"/>
          <w:szCs w:val="22"/>
        </w:rPr>
      </w:pPr>
    </w:p>
    <w:p w:rsidR="003D102E" w:rsidRPr="00876509" w:rsidRDefault="003D102E" w:rsidP="00876509">
      <w:pPr>
        <w:numPr>
          <w:ilvl w:val="0"/>
          <w:numId w:val="41"/>
        </w:numPr>
        <w:ind w:left="567" w:hanging="567"/>
        <w:rPr>
          <w:sz w:val="22"/>
          <w:szCs w:val="22"/>
        </w:rPr>
      </w:pPr>
      <w:r w:rsidRPr="008F7B51">
        <w:rPr>
          <w:sz w:val="22"/>
          <w:szCs w:val="22"/>
        </w:rPr>
        <w:t xml:space="preserve">The bottom line of the formula </w:t>
      </w:r>
      <w:r w:rsidRPr="008F7B51">
        <w:rPr>
          <w:rFonts w:cs="Arial"/>
          <w:sz w:val="22"/>
          <w:szCs w:val="22"/>
        </w:rPr>
        <w:t>(</w:t>
      </w:r>
      <w:r w:rsidRPr="008F7B51">
        <w:rPr>
          <w:rFonts w:cs="Arial"/>
          <w:b/>
          <w:sz w:val="22"/>
          <w:szCs w:val="22"/>
        </w:rPr>
        <w:t>D</w:t>
      </w:r>
      <w:r w:rsidRPr="008F7B51">
        <w:rPr>
          <w:rFonts w:cs="Arial"/>
          <w:sz w:val="22"/>
          <w:szCs w:val="22"/>
        </w:rPr>
        <w:t xml:space="preserve">) </w:t>
      </w:r>
      <w:r w:rsidRPr="008F7B51">
        <w:rPr>
          <w:sz w:val="22"/>
          <w:szCs w:val="22"/>
        </w:rPr>
        <w:t xml:space="preserve">determines </w:t>
      </w:r>
      <w:r w:rsidRPr="008F7B51">
        <w:rPr>
          <w:i/>
          <w:sz w:val="22"/>
          <w:szCs w:val="22"/>
        </w:rPr>
        <w:t>the levy rate</w:t>
      </w:r>
      <w:r w:rsidRPr="008F7B51">
        <w:rPr>
          <w:sz w:val="22"/>
          <w:szCs w:val="22"/>
        </w:rPr>
        <w:t xml:space="preserve"> that is thought to be necessary for a sector to contribute </w:t>
      </w:r>
      <w:r w:rsidRPr="008F7B51">
        <w:rPr>
          <w:i/>
          <w:sz w:val="22"/>
          <w:szCs w:val="22"/>
        </w:rPr>
        <w:t>the dollar amount</w:t>
      </w:r>
      <w:r w:rsidRPr="008F7B51">
        <w:rPr>
          <w:sz w:val="22"/>
          <w:szCs w:val="22"/>
        </w:rPr>
        <w:t xml:space="preserve"> calculated by the top line of the formula. </w:t>
      </w:r>
      <w:r w:rsidRPr="008F7B51">
        <w:rPr>
          <w:rFonts w:cs="Arial"/>
          <w:sz w:val="22"/>
          <w:szCs w:val="22"/>
        </w:rPr>
        <w:t>All other things being equal, the higher the forecast player expenditure for a sector over the course of the levy period (</w:t>
      </w:r>
      <w:r w:rsidRPr="008F7B51">
        <w:rPr>
          <w:rFonts w:cs="Arial"/>
          <w:b/>
          <w:sz w:val="22"/>
          <w:szCs w:val="22"/>
        </w:rPr>
        <w:t>D</w:t>
      </w:r>
      <w:r w:rsidRPr="008F7B51">
        <w:rPr>
          <w:rFonts w:cs="Arial"/>
          <w:sz w:val="22"/>
          <w:szCs w:val="22"/>
        </w:rPr>
        <w:t>), the lower that sector’s levy rate</w:t>
      </w:r>
      <w:r w:rsidRPr="008F7B51">
        <w:rPr>
          <w:sz w:val="22"/>
          <w:szCs w:val="22"/>
        </w:rPr>
        <w:t>.</w:t>
      </w:r>
      <w:r w:rsidR="00876509">
        <w:rPr>
          <w:sz w:val="22"/>
          <w:szCs w:val="22"/>
        </w:rPr>
        <w:t xml:space="preserve"> </w:t>
      </w:r>
      <w:r w:rsidRPr="00876509">
        <w:rPr>
          <w:sz w:val="22"/>
          <w:szCs w:val="22"/>
        </w:rPr>
        <w:t xml:space="preserve">A levy rate is the amount per dollar of expenditure (player losses) over the course of a levy period that a sector must pay. </w:t>
      </w:r>
      <w:r w:rsidR="00865DBF">
        <w:rPr>
          <w:sz w:val="22"/>
          <w:szCs w:val="22"/>
        </w:rPr>
        <w:t>For example, a</w:t>
      </w:r>
      <w:r w:rsidRPr="00876509">
        <w:rPr>
          <w:sz w:val="22"/>
          <w:szCs w:val="22"/>
        </w:rPr>
        <w:t xml:space="preserve"> rate of 1.30% means a sector must pay 1.3 cents in levy out of every dollar players spend in that sector over the three-year levy period.</w:t>
      </w:r>
    </w:p>
    <w:p w:rsidR="003D102E" w:rsidRPr="00964840" w:rsidRDefault="003D102E" w:rsidP="003D102E">
      <w:pPr>
        <w:tabs>
          <w:tab w:val="left" w:pos="709"/>
        </w:tabs>
        <w:rPr>
          <w:rFonts w:cs="Arial"/>
          <w:sz w:val="22"/>
          <w:szCs w:val="22"/>
        </w:rPr>
      </w:pPr>
    </w:p>
    <w:p w:rsidR="003D102E" w:rsidRPr="003A5BB9" w:rsidRDefault="003D102E" w:rsidP="003D102E">
      <w:pPr>
        <w:numPr>
          <w:ilvl w:val="0"/>
          <w:numId w:val="41"/>
        </w:numPr>
        <w:ind w:left="567" w:hanging="567"/>
        <w:rPr>
          <w:sz w:val="22"/>
          <w:szCs w:val="22"/>
        </w:rPr>
      </w:pPr>
      <w:r w:rsidRPr="00A468E3">
        <w:rPr>
          <w:rFonts w:cs="Arial"/>
          <w:sz w:val="22"/>
          <w:szCs w:val="22"/>
        </w:rPr>
        <w:t xml:space="preserve">The </w:t>
      </w:r>
      <w:r>
        <w:rPr>
          <w:rFonts w:cs="Arial"/>
          <w:sz w:val="22"/>
          <w:szCs w:val="22"/>
        </w:rPr>
        <w:t>(</w:t>
      </w:r>
      <w:r w:rsidRPr="00974A88">
        <w:rPr>
          <w:rFonts w:cs="Arial"/>
          <w:b/>
          <w:sz w:val="22"/>
          <w:szCs w:val="22"/>
        </w:rPr>
        <w:t>A</w:t>
      </w:r>
      <w:r>
        <w:rPr>
          <w:rFonts w:cs="Arial"/>
          <w:sz w:val="22"/>
          <w:szCs w:val="22"/>
        </w:rPr>
        <w:t xml:space="preserve"> x </w:t>
      </w:r>
      <w:r w:rsidRPr="00974A88">
        <w:rPr>
          <w:rFonts w:cs="Arial"/>
          <w:b/>
          <w:sz w:val="22"/>
          <w:szCs w:val="22"/>
        </w:rPr>
        <w:t>W</w:t>
      </w:r>
      <w:r w:rsidRPr="00974A88">
        <w:rPr>
          <w:rFonts w:cs="Arial"/>
          <w:b/>
          <w:sz w:val="22"/>
          <w:szCs w:val="22"/>
          <w:vertAlign w:val="subscript"/>
        </w:rPr>
        <w:t>1</w:t>
      </w:r>
      <w:r>
        <w:rPr>
          <w:rFonts w:cs="Arial"/>
          <w:sz w:val="22"/>
          <w:szCs w:val="22"/>
        </w:rPr>
        <w:t>) + (</w:t>
      </w:r>
      <w:r w:rsidRPr="00974A88">
        <w:rPr>
          <w:rFonts w:cs="Arial"/>
          <w:b/>
          <w:sz w:val="22"/>
          <w:szCs w:val="22"/>
        </w:rPr>
        <w:t>B</w:t>
      </w:r>
      <w:r>
        <w:rPr>
          <w:rFonts w:cs="Arial"/>
          <w:sz w:val="22"/>
          <w:szCs w:val="22"/>
        </w:rPr>
        <w:t xml:space="preserve"> x </w:t>
      </w:r>
      <w:r w:rsidRPr="00974A88">
        <w:rPr>
          <w:rFonts w:cs="Arial"/>
          <w:b/>
          <w:sz w:val="22"/>
          <w:szCs w:val="22"/>
        </w:rPr>
        <w:t>W</w:t>
      </w:r>
      <w:r w:rsidRPr="00974A88">
        <w:rPr>
          <w:rFonts w:cs="Arial"/>
          <w:b/>
          <w:sz w:val="22"/>
          <w:szCs w:val="22"/>
          <w:vertAlign w:val="subscript"/>
        </w:rPr>
        <w:t>2</w:t>
      </w:r>
      <w:r>
        <w:rPr>
          <w:rFonts w:cs="Arial"/>
          <w:sz w:val="22"/>
          <w:szCs w:val="22"/>
        </w:rPr>
        <w:t>) component</w:t>
      </w:r>
      <w:r w:rsidRPr="00A468E3">
        <w:rPr>
          <w:rFonts w:cs="Arial"/>
          <w:sz w:val="22"/>
          <w:szCs w:val="22"/>
        </w:rPr>
        <w:t xml:space="preserve"> </w:t>
      </w:r>
      <w:r>
        <w:rPr>
          <w:rFonts w:cs="Arial"/>
          <w:sz w:val="22"/>
          <w:szCs w:val="22"/>
        </w:rPr>
        <w:t>in the top line</w:t>
      </w:r>
      <w:r w:rsidRPr="00A468E3">
        <w:rPr>
          <w:rFonts w:cs="Arial"/>
          <w:sz w:val="22"/>
          <w:szCs w:val="22"/>
        </w:rPr>
        <w:t xml:space="preserve"> </w:t>
      </w:r>
      <w:r>
        <w:rPr>
          <w:rFonts w:cs="Arial"/>
          <w:sz w:val="22"/>
          <w:szCs w:val="22"/>
        </w:rPr>
        <w:t xml:space="preserve">of the formula </w:t>
      </w:r>
      <w:r w:rsidRPr="00A468E3">
        <w:rPr>
          <w:rFonts w:cs="Arial"/>
          <w:sz w:val="22"/>
          <w:szCs w:val="22"/>
        </w:rPr>
        <w:t xml:space="preserve">determines the </w:t>
      </w:r>
      <w:r>
        <w:rPr>
          <w:rFonts w:cs="Arial"/>
          <w:sz w:val="22"/>
          <w:szCs w:val="22"/>
        </w:rPr>
        <w:t xml:space="preserve">share of the </w:t>
      </w:r>
      <w:r w:rsidR="00FA7F38">
        <w:rPr>
          <w:rFonts w:cs="Arial"/>
          <w:sz w:val="22"/>
          <w:szCs w:val="22"/>
        </w:rPr>
        <w:t>funding requirement (</w:t>
      </w:r>
      <w:r w:rsidR="00FA7F38" w:rsidRPr="00974A88">
        <w:rPr>
          <w:rFonts w:cs="Arial"/>
          <w:b/>
          <w:sz w:val="22"/>
          <w:szCs w:val="22"/>
        </w:rPr>
        <w:t>C</w:t>
      </w:r>
      <w:r w:rsidR="00FA7F38" w:rsidRPr="00974A88">
        <w:rPr>
          <w:rFonts w:cs="Arial"/>
          <w:sz w:val="22"/>
          <w:szCs w:val="22"/>
        </w:rPr>
        <w:t>)</w:t>
      </w:r>
      <w:r w:rsidR="00FA7F38">
        <w:rPr>
          <w:rFonts w:cs="Arial"/>
          <w:sz w:val="22"/>
          <w:szCs w:val="22"/>
        </w:rPr>
        <w:t xml:space="preserve"> (that is, </w:t>
      </w:r>
      <w:r w:rsidR="00307BD6">
        <w:rPr>
          <w:rFonts w:cs="Arial"/>
          <w:sz w:val="22"/>
          <w:szCs w:val="22"/>
        </w:rPr>
        <w:t xml:space="preserve">it determines </w:t>
      </w:r>
      <w:r w:rsidR="00FA7F38">
        <w:rPr>
          <w:rFonts w:cs="Arial"/>
          <w:sz w:val="22"/>
          <w:szCs w:val="22"/>
        </w:rPr>
        <w:t>the share of the</w:t>
      </w:r>
      <w:r>
        <w:rPr>
          <w:rFonts w:cs="Arial"/>
          <w:sz w:val="22"/>
          <w:szCs w:val="22"/>
        </w:rPr>
        <w:t xml:space="preserve"> budget </w:t>
      </w:r>
      <w:r w:rsidR="00D2045D">
        <w:rPr>
          <w:rFonts w:cs="Arial"/>
          <w:sz w:val="22"/>
          <w:szCs w:val="22"/>
        </w:rPr>
        <w:t>for</w:t>
      </w:r>
      <w:r w:rsidR="00FA7F38">
        <w:rPr>
          <w:rFonts w:cs="Arial"/>
          <w:sz w:val="22"/>
          <w:szCs w:val="22"/>
        </w:rPr>
        <w:t xml:space="preserve"> the strategy </w:t>
      </w:r>
      <w:r w:rsidR="00307BD6">
        <w:rPr>
          <w:rFonts w:cs="Arial"/>
          <w:sz w:val="22"/>
          <w:szCs w:val="22"/>
        </w:rPr>
        <w:t>for</w:t>
      </w:r>
      <w:r>
        <w:rPr>
          <w:rFonts w:cs="Arial"/>
          <w:sz w:val="22"/>
          <w:szCs w:val="22"/>
        </w:rPr>
        <w:t xml:space="preserve"> a given </w:t>
      </w:r>
      <w:r w:rsidR="00307BD6">
        <w:rPr>
          <w:rFonts w:cs="Arial"/>
          <w:sz w:val="22"/>
          <w:szCs w:val="22"/>
        </w:rPr>
        <w:t xml:space="preserve">levy </w:t>
      </w:r>
      <w:r>
        <w:rPr>
          <w:rFonts w:cs="Arial"/>
          <w:sz w:val="22"/>
          <w:szCs w:val="22"/>
        </w:rPr>
        <w:t>period</w:t>
      </w:r>
      <w:r w:rsidR="00FA7F38">
        <w:rPr>
          <w:rFonts w:cs="Arial"/>
          <w:sz w:val="22"/>
          <w:szCs w:val="22"/>
        </w:rPr>
        <w:t>)</w:t>
      </w:r>
      <w:r>
        <w:rPr>
          <w:rFonts w:cs="Arial"/>
          <w:sz w:val="22"/>
          <w:szCs w:val="22"/>
        </w:rPr>
        <w:t xml:space="preserve"> that each sector is required to pay.  </w:t>
      </w:r>
      <w:r w:rsidRPr="00A468E3">
        <w:rPr>
          <w:rFonts w:cs="Arial"/>
          <w:sz w:val="22"/>
          <w:szCs w:val="22"/>
        </w:rPr>
        <w:t>When a sector’s share of player expenditure (</w:t>
      </w:r>
      <w:r w:rsidRPr="00A468E3">
        <w:rPr>
          <w:rFonts w:cs="Arial"/>
          <w:b/>
          <w:sz w:val="22"/>
          <w:szCs w:val="22"/>
        </w:rPr>
        <w:t>A</w:t>
      </w:r>
      <w:r w:rsidRPr="00A468E3">
        <w:rPr>
          <w:rFonts w:cs="Arial"/>
          <w:sz w:val="22"/>
          <w:szCs w:val="22"/>
        </w:rPr>
        <w:t>) is substantially different from its share of presentations (</w:t>
      </w:r>
      <w:r w:rsidRPr="00A468E3">
        <w:rPr>
          <w:rFonts w:cs="Arial"/>
          <w:b/>
          <w:sz w:val="22"/>
          <w:szCs w:val="22"/>
        </w:rPr>
        <w:t>B</w:t>
      </w:r>
      <w:r w:rsidRPr="00A468E3">
        <w:rPr>
          <w:rFonts w:cs="Arial"/>
          <w:sz w:val="22"/>
          <w:szCs w:val="22"/>
        </w:rPr>
        <w:t xml:space="preserve">), </w:t>
      </w:r>
      <w:r w:rsidRPr="00A468E3">
        <w:rPr>
          <w:rFonts w:cs="Arial"/>
          <w:b/>
          <w:sz w:val="22"/>
          <w:szCs w:val="22"/>
        </w:rPr>
        <w:t>W</w:t>
      </w:r>
      <w:r w:rsidRPr="00974A88">
        <w:rPr>
          <w:rFonts w:cs="Arial"/>
          <w:b/>
          <w:sz w:val="22"/>
          <w:szCs w:val="22"/>
          <w:vertAlign w:val="subscript"/>
        </w:rPr>
        <w:t>1</w:t>
      </w:r>
      <w:r w:rsidRPr="00A468E3">
        <w:rPr>
          <w:rFonts w:cs="Arial"/>
          <w:sz w:val="22"/>
          <w:szCs w:val="22"/>
        </w:rPr>
        <w:t xml:space="preserve"> and </w:t>
      </w:r>
      <w:r w:rsidRPr="00A468E3">
        <w:rPr>
          <w:rFonts w:cs="Arial"/>
          <w:b/>
          <w:sz w:val="22"/>
          <w:szCs w:val="22"/>
        </w:rPr>
        <w:t>W</w:t>
      </w:r>
      <w:r w:rsidRPr="00974A88">
        <w:rPr>
          <w:rFonts w:cs="Arial"/>
          <w:b/>
          <w:sz w:val="22"/>
          <w:szCs w:val="22"/>
          <w:vertAlign w:val="subscript"/>
        </w:rPr>
        <w:t>2</w:t>
      </w:r>
      <w:r w:rsidRPr="00A468E3">
        <w:rPr>
          <w:rFonts w:cs="Arial"/>
          <w:sz w:val="22"/>
          <w:szCs w:val="22"/>
        </w:rPr>
        <w:t>, the weighting between expenditure and presentation</w:t>
      </w:r>
      <w:r>
        <w:rPr>
          <w:rFonts w:cs="Arial"/>
          <w:sz w:val="22"/>
          <w:szCs w:val="22"/>
        </w:rPr>
        <w:t>s</w:t>
      </w:r>
      <w:r w:rsidRPr="00A468E3">
        <w:rPr>
          <w:rFonts w:cs="Arial"/>
          <w:sz w:val="22"/>
          <w:szCs w:val="22"/>
        </w:rPr>
        <w:t xml:space="preserve">, is critical to </w:t>
      </w:r>
      <w:r>
        <w:rPr>
          <w:rFonts w:cs="Arial"/>
          <w:sz w:val="22"/>
          <w:szCs w:val="22"/>
        </w:rPr>
        <w:t>determining</w:t>
      </w:r>
      <w:r w:rsidRPr="00A468E3">
        <w:rPr>
          <w:rFonts w:cs="Arial"/>
          <w:sz w:val="22"/>
          <w:szCs w:val="22"/>
        </w:rPr>
        <w:t xml:space="preserve"> the </w:t>
      </w:r>
      <w:r>
        <w:rPr>
          <w:rFonts w:cs="Arial"/>
          <w:sz w:val="22"/>
          <w:szCs w:val="22"/>
        </w:rPr>
        <w:t>share</w:t>
      </w:r>
      <w:r w:rsidRPr="00A468E3">
        <w:rPr>
          <w:rFonts w:cs="Arial"/>
          <w:sz w:val="22"/>
          <w:szCs w:val="22"/>
        </w:rPr>
        <w:t xml:space="preserve"> </w:t>
      </w:r>
      <w:r>
        <w:rPr>
          <w:rFonts w:cs="Arial"/>
          <w:sz w:val="22"/>
          <w:szCs w:val="22"/>
        </w:rPr>
        <w:t xml:space="preserve">of the budget </w:t>
      </w:r>
      <w:r w:rsidRPr="00A468E3">
        <w:rPr>
          <w:rFonts w:cs="Arial"/>
          <w:sz w:val="22"/>
          <w:szCs w:val="22"/>
        </w:rPr>
        <w:t xml:space="preserve">that sector will be expected to pay. </w:t>
      </w:r>
      <w:r>
        <w:rPr>
          <w:sz w:val="22"/>
          <w:szCs w:val="22"/>
        </w:rPr>
        <w:t xml:space="preserve"> </w:t>
      </w:r>
    </w:p>
    <w:p w:rsidR="003D102E" w:rsidRPr="00F06A8B" w:rsidRDefault="003D102E" w:rsidP="003D102E">
      <w:pPr>
        <w:rPr>
          <w:sz w:val="22"/>
          <w:szCs w:val="22"/>
        </w:rPr>
      </w:pPr>
    </w:p>
    <w:p w:rsidR="00147174" w:rsidRPr="0066703F" w:rsidRDefault="00147174" w:rsidP="0066703F">
      <w:pPr>
        <w:numPr>
          <w:ilvl w:val="0"/>
          <w:numId w:val="41"/>
        </w:numPr>
        <w:ind w:left="567" w:hanging="567"/>
        <w:rPr>
          <w:sz w:val="22"/>
          <w:szCs w:val="22"/>
        </w:rPr>
      </w:pPr>
      <w:r>
        <w:rPr>
          <w:sz w:val="22"/>
          <w:szCs w:val="22"/>
        </w:rPr>
        <w:t xml:space="preserve">The strategy is an integrated </w:t>
      </w:r>
      <w:r w:rsidRPr="00876509">
        <w:rPr>
          <w:sz w:val="22"/>
          <w:szCs w:val="22"/>
        </w:rPr>
        <w:t>problem gambling</w:t>
      </w:r>
      <w:r>
        <w:rPr>
          <w:sz w:val="22"/>
          <w:szCs w:val="22"/>
        </w:rPr>
        <w:t xml:space="preserve"> strategy focused on public health.  </w:t>
      </w:r>
      <w:r w:rsidR="0027467C">
        <w:rPr>
          <w:sz w:val="22"/>
          <w:szCs w:val="22"/>
        </w:rPr>
        <w:t>It</w:t>
      </w:r>
      <w:r>
        <w:rPr>
          <w:sz w:val="22"/>
          <w:szCs w:val="22"/>
        </w:rPr>
        <w:t xml:space="preserve"> is </w:t>
      </w:r>
      <w:r w:rsidR="0071354D">
        <w:rPr>
          <w:sz w:val="22"/>
          <w:szCs w:val="22"/>
        </w:rPr>
        <w:t>intended to help achieve</w:t>
      </w:r>
      <w:r>
        <w:rPr>
          <w:sz w:val="22"/>
          <w:szCs w:val="22"/>
        </w:rPr>
        <w:t xml:space="preserve"> the objective set out</w:t>
      </w:r>
      <w:r w:rsidR="0027467C">
        <w:rPr>
          <w:sz w:val="22"/>
          <w:szCs w:val="22"/>
        </w:rPr>
        <w:t xml:space="preserve"> in section 3(b) of the Act.  That is, </w:t>
      </w:r>
      <w:r>
        <w:rPr>
          <w:sz w:val="22"/>
          <w:szCs w:val="22"/>
        </w:rPr>
        <w:t xml:space="preserve">it is intended both to prevent and to minimise </w:t>
      </w:r>
      <w:r w:rsidR="0071354D">
        <w:rPr>
          <w:sz w:val="22"/>
          <w:szCs w:val="22"/>
        </w:rPr>
        <w:t xml:space="preserve">any kind of harm or distress </w:t>
      </w:r>
      <w:r w:rsidR="00E336A4">
        <w:rPr>
          <w:sz w:val="22"/>
          <w:szCs w:val="22"/>
        </w:rPr>
        <w:t xml:space="preserve">from gambling. </w:t>
      </w:r>
      <w:r w:rsidR="0066703F">
        <w:rPr>
          <w:sz w:val="22"/>
          <w:szCs w:val="22"/>
        </w:rPr>
        <w:t xml:space="preserve"> </w:t>
      </w:r>
      <w:r w:rsidRPr="0066703F">
        <w:rPr>
          <w:sz w:val="22"/>
          <w:szCs w:val="22"/>
        </w:rPr>
        <w:t>Section</w:t>
      </w:r>
      <w:r w:rsidR="00E336A4" w:rsidRPr="0066703F">
        <w:rPr>
          <w:sz w:val="22"/>
          <w:szCs w:val="22"/>
        </w:rPr>
        <w:t>s</w:t>
      </w:r>
      <w:r w:rsidRPr="0066703F">
        <w:rPr>
          <w:sz w:val="22"/>
          <w:szCs w:val="22"/>
        </w:rPr>
        <w:t xml:space="preserve"> 319(2) </w:t>
      </w:r>
      <w:r w:rsidR="00E336A4" w:rsidRPr="0066703F">
        <w:rPr>
          <w:sz w:val="22"/>
          <w:szCs w:val="22"/>
        </w:rPr>
        <w:t>and 320(1) say</w:t>
      </w:r>
      <w:r w:rsidRPr="0066703F">
        <w:rPr>
          <w:sz w:val="22"/>
          <w:szCs w:val="22"/>
        </w:rPr>
        <w:t xml:space="preserve"> that the purpose of the levy is to recover the cost of developing, managing and implementing the strategy</w:t>
      </w:r>
      <w:r w:rsidR="0027467C" w:rsidRPr="0066703F">
        <w:rPr>
          <w:sz w:val="22"/>
          <w:szCs w:val="22"/>
        </w:rPr>
        <w:t xml:space="preserve">, </w:t>
      </w:r>
      <w:r w:rsidR="00E336A4" w:rsidRPr="0066703F">
        <w:rPr>
          <w:sz w:val="22"/>
          <w:szCs w:val="22"/>
        </w:rPr>
        <w:t>and</w:t>
      </w:r>
      <w:r w:rsidRPr="0066703F">
        <w:rPr>
          <w:sz w:val="22"/>
          <w:szCs w:val="22"/>
        </w:rPr>
        <w:t xml:space="preserve"> that the formula is a mechanism to allocate that cost among gambling operators and to collect it from them.   </w:t>
      </w:r>
    </w:p>
    <w:p w:rsidR="00147174" w:rsidRPr="001A4418" w:rsidRDefault="00147174" w:rsidP="00147174">
      <w:pPr>
        <w:rPr>
          <w:rFonts w:cs="Arial"/>
          <w:sz w:val="22"/>
          <w:szCs w:val="22"/>
        </w:rPr>
      </w:pPr>
    </w:p>
    <w:p w:rsidR="0066703F" w:rsidRPr="0066703F" w:rsidRDefault="00A8559E" w:rsidP="00147174">
      <w:pPr>
        <w:numPr>
          <w:ilvl w:val="0"/>
          <w:numId w:val="41"/>
        </w:numPr>
        <w:ind w:left="567" w:hanging="567"/>
        <w:rPr>
          <w:rFonts w:cs="Arial"/>
          <w:sz w:val="22"/>
          <w:szCs w:val="22"/>
        </w:rPr>
      </w:pPr>
      <w:r>
        <w:rPr>
          <w:sz w:val="22"/>
          <w:szCs w:val="22"/>
        </w:rPr>
        <w:t>The</w:t>
      </w:r>
      <w:r w:rsidR="0066703F">
        <w:rPr>
          <w:sz w:val="22"/>
          <w:szCs w:val="22"/>
        </w:rPr>
        <w:t>se</w:t>
      </w:r>
      <w:r>
        <w:rPr>
          <w:sz w:val="22"/>
          <w:szCs w:val="22"/>
        </w:rPr>
        <w:t xml:space="preserve"> objectives of the strategy, the levy </w:t>
      </w:r>
      <w:r w:rsidR="00147174">
        <w:rPr>
          <w:sz w:val="22"/>
          <w:szCs w:val="22"/>
        </w:rPr>
        <w:t xml:space="preserve">and the </w:t>
      </w:r>
      <w:r w:rsidR="000137C1">
        <w:rPr>
          <w:sz w:val="22"/>
          <w:szCs w:val="22"/>
        </w:rPr>
        <w:t xml:space="preserve">levy </w:t>
      </w:r>
      <w:r w:rsidR="0066703F">
        <w:rPr>
          <w:sz w:val="22"/>
          <w:szCs w:val="22"/>
        </w:rPr>
        <w:t>formula</w:t>
      </w:r>
      <w:r w:rsidR="00147174">
        <w:rPr>
          <w:sz w:val="22"/>
          <w:szCs w:val="22"/>
        </w:rPr>
        <w:t xml:space="preserve"> do not require the inclusion of a weighting in the formula.  Each sector’s share of the </w:t>
      </w:r>
      <w:r w:rsidR="00865DBF">
        <w:rPr>
          <w:sz w:val="22"/>
          <w:szCs w:val="22"/>
        </w:rPr>
        <w:t>budget</w:t>
      </w:r>
      <w:r w:rsidR="0066703F">
        <w:rPr>
          <w:sz w:val="22"/>
          <w:szCs w:val="22"/>
        </w:rPr>
        <w:t xml:space="preserve"> </w:t>
      </w:r>
      <w:r w:rsidR="0027467C">
        <w:rPr>
          <w:sz w:val="22"/>
          <w:szCs w:val="22"/>
        </w:rPr>
        <w:t xml:space="preserve">could, for example, </w:t>
      </w:r>
      <w:r w:rsidR="00E956BB">
        <w:rPr>
          <w:sz w:val="22"/>
          <w:szCs w:val="22"/>
        </w:rPr>
        <w:t>simply be the same as its</w:t>
      </w:r>
      <w:r w:rsidR="00147174">
        <w:rPr>
          <w:sz w:val="22"/>
          <w:szCs w:val="22"/>
        </w:rPr>
        <w:t xml:space="preserve"> share of </w:t>
      </w:r>
      <w:r w:rsidR="00E956BB">
        <w:rPr>
          <w:sz w:val="22"/>
          <w:szCs w:val="22"/>
        </w:rPr>
        <w:t>the presentations attributed to the levy-paying</w:t>
      </w:r>
      <w:r w:rsidR="00147174">
        <w:rPr>
          <w:sz w:val="22"/>
          <w:szCs w:val="22"/>
        </w:rPr>
        <w:t xml:space="preserve"> sector</w:t>
      </w:r>
      <w:r w:rsidR="00E956BB">
        <w:rPr>
          <w:sz w:val="22"/>
          <w:szCs w:val="22"/>
        </w:rPr>
        <w:t>s</w:t>
      </w:r>
      <w:r w:rsidR="00147174">
        <w:rPr>
          <w:sz w:val="22"/>
          <w:szCs w:val="22"/>
        </w:rPr>
        <w:t xml:space="preserve">.  </w:t>
      </w:r>
      <w:r w:rsidR="00E956BB">
        <w:rPr>
          <w:sz w:val="22"/>
          <w:szCs w:val="22"/>
        </w:rPr>
        <w:t>A</w:t>
      </w:r>
      <w:r w:rsidR="00B21CE0">
        <w:rPr>
          <w:sz w:val="22"/>
          <w:szCs w:val="22"/>
        </w:rPr>
        <w:t>lternative</w:t>
      </w:r>
      <w:r w:rsidR="00E956BB">
        <w:rPr>
          <w:sz w:val="22"/>
          <w:szCs w:val="22"/>
        </w:rPr>
        <w:t xml:space="preserve">ly, </w:t>
      </w:r>
      <w:r w:rsidR="00B21CE0">
        <w:rPr>
          <w:sz w:val="22"/>
          <w:szCs w:val="22"/>
        </w:rPr>
        <w:t xml:space="preserve">each sector’s share of the </w:t>
      </w:r>
      <w:r w:rsidR="00865DBF">
        <w:rPr>
          <w:sz w:val="22"/>
          <w:szCs w:val="22"/>
        </w:rPr>
        <w:t>budget</w:t>
      </w:r>
      <w:r w:rsidR="00147174">
        <w:rPr>
          <w:sz w:val="22"/>
          <w:szCs w:val="22"/>
        </w:rPr>
        <w:t xml:space="preserve"> could simply </w:t>
      </w:r>
      <w:r w:rsidR="0027467C">
        <w:rPr>
          <w:sz w:val="22"/>
          <w:szCs w:val="22"/>
        </w:rPr>
        <w:t xml:space="preserve">be </w:t>
      </w:r>
      <w:r w:rsidR="00147174">
        <w:rPr>
          <w:sz w:val="22"/>
          <w:szCs w:val="22"/>
        </w:rPr>
        <w:t xml:space="preserve">the same as </w:t>
      </w:r>
      <w:r w:rsidR="00E956BB">
        <w:rPr>
          <w:sz w:val="22"/>
          <w:szCs w:val="22"/>
        </w:rPr>
        <w:t>its</w:t>
      </w:r>
      <w:r w:rsidR="00147174">
        <w:rPr>
          <w:sz w:val="22"/>
          <w:szCs w:val="22"/>
        </w:rPr>
        <w:t xml:space="preserve"> share of </w:t>
      </w:r>
      <w:r w:rsidR="00E956BB">
        <w:rPr>
          <w:sz w:val="22"/>
          <w:szCs w:val="22"/>
        </w:rPr>
        <w:t xml:space="preserve">all </w:t>
      </w:r>
      <w:r w:rsidR="00147174">
        <w:rPr>
          <w:sz w:val="22"/>
          <w:szCs w:val="22"/>
        </w:rPr>
        <w:t>expenditure</w:t>
      </w:r>
      <w:r w:rsidR="00E956BB">
        <w:rPr>
          <w:sz w:val="22"/>
          <w:szCs w:val="22"/>
        </w:rPr>
        <w:t xml:space="preserve"> attributed to the levy-paying </w:t>
      </w:r>
      <w:r w:rsidR="00E956BB" w:rsidRPr="0066703F">
        <w:rPr>
          <w:rFonts w:cs="Arial"/>
          <w:sz w:val="22"/>
          <w:szCs w:val="22"/>
        </w:rPr>
        <w:t xml:space="preserve">sectors.  </w:t>
      </w:r>
    </w:p>
    <w:p w:rsidR="0066703F" w:rsidRPr="0066703F" w:rsidRDefault="0066703F" w:rsidP="0066703F">
      <w:pPr>
        <w:rPr>
          <w:rFonts w:cs="Arial"/>
          <w:sz w:val="22"/>
          <w:szCs w:val="22"/>
        </w:rPr>
      </w:pPr>
    </w:p>
    <w:p w:rsidR="00147174" w:rsidRPr="0027467C" w:rsidRDefault="0027467C" w:rsidP="00147174">
      <w:pPr>
        <w:numPr>
          <w:ilvl w:val="0"/>
          <w:numId w:val="41"/>
        </w:numPr>
        <w:ind w:left="567" w:hanging="567"/>
        <w:rPr>
          <w:rFonts w:cs="Arial"/>
          <w:sz w:val="22"/>
          <w:szCs w:val="22"/>
        </w:rPr>
      </w:pPr>
      <w:r>
        <w:rPr>
          <w:sz w:val="22"/>
          <w:szCs w:val="22"/>
        </w:rPr>
        <w:t xml:space="preserve">The weighting </w:t>
      </w:r>
      <w:r w:rsidR="00E956BB">
        <w:rPr>
          <w:sz w:val="22"/>
          <w:szCs w:val="22"/>
        </w:rPr>
        <w:t xml:space="preserve">approach </w:t>
      </w:r>
      <w:r>
        <w:rPr>
          <w:sz w:val="22"/>
          <w:szCs w:val="22"/>
        </w:rPr>
        <w:t xml:space="preserve">allows responsible Ministers to apportion the costs of the strategy </w:t>
      </w:r>
      <w:r w:rsidR="00E956BB">
        <w:rPr>
          <w:sz w:val="22"/>
          <w:szCs w:val="22"/>
        </w:rPr>
        <w:t>to</w:t>
      </w:r>
      <w:r>
        <w:rPr>
          <w:sz w:val="22"/>
          <w:szCs w:val="22"/>
        </w:rPr>
        <w:t xml:space="preserve"> the levy-paying sectors in a way that they consider </w:t>
      </w:r>
      <w:r w:rsidR="004C16F8">
        <w:rPr>
          <w:sz w:val="22"/>
          <w:szCs w:val="22"/>
        </w:rPr>
        <w:t>to be fairer</w:t>
      </w:r>
      <w:r>
        <w:rPr>
          <w:sz w:val="22"/>
          <w:szCs w:val="22"/>
        </w:rPr>
        <w:t xml:space="preserve"> than the apportionment that would result</w:t>
      </w:r>
      <w:r w:rsidR="00E956BB">
        <w:rPr>
          <w:sz w:val="22"/>
          <w:szCs w:val="22"/>
        </w:rPr>
        <w:t xml:space="preserve"> if they had to</w:t>
      </w:r>
      <w:r>
        <w:rPr>
          <w:sz w:val="22"/>
          <w:szCs w:val="22"/>
        </w:rPr>
        <w:t xml:space="preserve"> </w:t>
      </w:r>
      <w:r w:rsidR="00E956BB">
        <w:rPr>
          <w:sz w:val="22"/>
          <w:szCs w:val="22"/>
        </w:rPr>
        <w:t>rely</w:t>
      </w:r>
      <w:r>
        <w:rPr>
          <w:sz w:val="22"/>
          <w:szCs w:val="22"/>
        </w:rPr>
        <w:t xml:space="preserve"> on either presentations</w:t>
      </w:r>
      <w:r w:rsidR="009C483B">
        <w:rPr>
          <w:sz w:val="22"/>
          <w:szCs w:val="22"/>
        </w:rPr>
        <w:t xml:space="preserve"> alone</w:t>
      </w:r>
      <w:r>
        <w:rPr>
          <w:sz w:val="22"/>
          <w:szCs w:val="22"/>
        </w:rPr>
        <w:t xml:space="preserve"> or expenditure alone.</w:t>
      </w:r>
      <w:r w:rsidR="00B034A6" w:rsidRPr="00B034A6">
        <w:rPr>
          <w:rFonts w:cs="Arial"/>
          <w:sz w:val="22"/>
          <w:szCs w:val="22"/>
        </w:rPr>
        <w:t xml:space="preserve"> </w:t>
      </w:r>
      <w:r w:rsidR="00B034A6">
        <w:rPr>
          <w:rFonts w:cs="Arial"/>
          <w:sz w:val="22"/>
          <w:szCs w:val="22"/>
        </w:rPr>
        <w:t xml:space="preserve"> The weighting selected is a matter of judgment; there is no scientifically ‘correct’ answer.</w:t>
      </w:r>
    </w:p>
    <w:p w:rsidR="0027467C" w:rsidRDefault="0027467C" w:rsidP="0027467C">
      <w:pPr>
        <w:rPr>
          <w:rFonts w:cs="Arial"/>
          <w:sz w:val="22"/>
          <w:szCs w:val="22"/>
        </w:rPr>
      </w:pPr>
    </w:p>
    <w:p w:rsidR="0027467C" w:rsidRPr="0092027B" w:rsidRDefault="0027467C" w:rsidP="00147174">
      <w:pPr>
        <w:numPr>
          <w:ilvl w:val="0"/>
          <w:numId w:val="41"/>
        </w:numPr>
        <w:ind w:left="567" w:hanging="567"/>
        <w:rPr>
          <w:rFonts w:cs="Arial"/>
          <w:sz w:val="22"/>
          <w:szCs w:val="22"/>
        </w:rPr>
      </w:pPr>
      <w:r>
        <w:rPr>
          <w:rFonts w:cs="Arial"/>
          <w:sz w:val="22"/>
          <w:szCs w:val="22"/>
        </w:rPr>
        <w:t xml:space="preserve">There are two key limitations of the weighting approach.  </w:t>
      </w:r>
      <w:r w:rsidR="00EB5134">
        <w:rPr>
          <w:rFonts w:cs="Arial"/>
          <w:sz w:val="22"/>
          <w:szCs w:val="22"/>
        </w:rPr>
        <w:t xml:space="preserve">There will almost certainly be no one weighting that results in </w:t>
      </w:r>
      <w:r w:rsidR="00B3668E">
        <w:rPr>
          <w:rFonts w:cs="Arial"/>
          <w:sz w:val="22"/>
          <w:szCs w:val="22"/>
        </w:rPr>
        <w:t>all</w:t>
      </w:r>
      <w:r w:rsidR="00EB5134">
        <w:rPr>
          <w:rFonts w:cs="Arial"/>
          <w:sz w:val="22"/>
          <w:szCs w:val="22"/>
        </w:rPr>
        <w:t xml:space="preserve"> levy-paying sector</w:t>
      </w:r>
      <w:r w:rsidR="00B3668E">
        <w:rPr>
          <w:rFonts w:cs="Arial"/>
          <w:sz w:val="22"/>
          <w:szCs w:val="22"/>
        </w:rPr>
        <w:t>s</w:t>
      </w:r>
      <w:r w:rsidR="00EB5134">
        <w:rPr>
          <w:rFonts w:cs="Arial"/>
          <w:sz w:val="22"/>
          <w:szCs w:val="22"/>
        </w:rPr>
        <w:t xml:space="preserve"> </w:t>
      </w:r>
      <w:r w:rsidR="0066703F">
        <w:rPr>
          <w:rFonts w:cs="Arial"/>
          <w:sz w:val="22"/>
          <w:szCs w:val="22"/>
        </w:rPr>
        <w:t xml:space="preserve">paying the amounts that </w:t>
      </w:r>
      <w:r w:rsidR="00EB5134">
        <w:rPr>
          <w:rFonts w:cs="Arial"/>
          <w:sz w:val="22"/>
          <w:szCs w:val="22"/>
        </w:rPr>
        <w:t xml:space="preserve">responsible Ministers consider to be </w:t>
      </w:r>
      <w:r w:rsidR="00B3668E">
        <w:rPr>
          <w:rFonts w:cs="Arial"/>
          <w:sz w:val="22"/>
          <w:szCs w:val="22"/>
        </w:rPr>
        <w:t>their</w:t>
      </w:r>
      <w:r w:rsidR="00EB5134">
        <w:rPr>
          <w:rFonts w:cs="Arial"/>
          <w:sz w:val="22"/>
          <w:szCs w:val="22"/>
        </w:rPr>
        <w:t xml:space="preserve"> fairest share</w:t>
      </w:r>
      <w:r w:rsidR="00B3668E">
        <w:rPr>
          <w:rFonts w:cs="Arial"/>
          <w:sz w:val="22"/>
          <w:szCs w:val="22"/>
        </w:rPr>
        <w:t>s</w:t>
      </w:r>
      <w:r w:rsidR="003E58C9">
        <w:rPr>
          <w:rFonts w:cs="Arial"/>
          <w:sz w:val="22"/>
          <w:szCs w:val="22"/>
        </w:rPr>
        <w:t xml:space="preserve"> of the strategy’s costs</w:t>
      </w:r>
      <w:r w:rsidR="00EB5134">
        <w:rPr>
          <w:rFonts w:cs="Arial"/>
          <w:sz w:val="22"/>
          <w:szCs w:val="22"/>
        </w:rPr>
        <w:t xml:space="preserve">.  </w:t>
      </w:r>
      <w:r w:rsidR="003E58C9">
        <w:rPr>
          <w:rFonts w:cs="Arial"/>
          <w:sz w:val="22"/>
          <w:szCs w:val="22"/>
        </w:rPr>
        <w:t>Further</w:t>
      </w:r>
      <w:r w:rsidR="00EB5134">
        <w:rPr>
          <w:rFonts w:cs="Arial"/>
          <w:sz w:val="22"/>
          <w:szCs w:val="22"/>
        </w:rPr>
        <w:t>, t</w:t>
      </w:r>
      <w:r w:rsidR="004C16F8">
        <w:rPr>
          <w:rFonts w:cs="Arial"/>
          <w:sz w:val="22"/>
          <w:szCs w:val="22"/>
        </w:rPr>
        <w:t xml:space="preserve">here may </w:t>
      </w:r>
      <w:r w:rsidR="00EB5134">
        <w:rPr>
          <w:rFonts w:cs="Arial"/>
          <w:sz w:val="22"/>
          <w:szCs w:val="22"/>
        </w:rPr>
        <w:t xml:space="preserve">at times </w:t>
      </w:r>
      <w:r w:rsidR="004C16F8">
        <w:rPr>
          <w:rFonts w:cs="Arial"/>
          <w:sz w:val="22"/>
          <w:szCs w:val="22"/>
        </w:rPr>
        <w:t>be no weighting</w:t>
      </w:r>
      <w:r w:rsidR="00B3668E">
        <w:rPr>
          <w:rFonts w:cs="Arial"/>
          <w:sz w:val="22"/>
          <w:szCs w:val="22"/>
        </w:rPr>
        <w:t xml:space="preserve"> </w:t>
      </w:r>
      <w:r w:rsidR="004C16F8">
        <w:rPr>
          <w:rFonts w:cs="Arial"/>
          <w:sz w:val="22"/>
          <w:szCs w:val="22"/>
        </w:rPr>
        <w:t xml:space="preserve">that </w:t>
      </w:r>
      <w:r w:rsidR="00B3668E">
        <w:rPr>
          <w:rFonts w:cs="Arial"/>
          <w:sz w:val="22"/>
          <w:szCs w:val="22"/>
        </w:rPr>
        <w:t xml:space="preserve">will </w:t>
      </w:r>
      <w:r w:rsidR="004C16F8">
        <w:rPr>
          <w:rFonts w:cs="Arial"/>
          <w:sz w:val="22"/>
          <w:szCs w:val="22"/>
        </w:rPr>
        <w:t xml:space="preserve">result in a particular sector </w:t>
      </w:r>
      <w:r w:rsidR="00EB5134">
        <w:rPr>
          <w:rFonts w:cs="Arial"/>
          <w:sz w:val="22"/>
          <w:szCs w:val="22"/>
        </w:rPr>
        <w:t xml:space="preserve">paying the </w:t>
      </w:r>
      <w:r w:rsidR="004C16F8">
        <w:rPr>
          <w:rFonts w:cs="Arial"/>
          <w:sz w:val="22"/>
          <w:szCs w:val="22"/>
        </w:rPr>
        <w:t>share of the strategy’s costs that responsible Minister</w:t>
      </w:r>
      <w:r w:rsidR="00EB5134">
        <w:rPr>
          <w:rFonts w:cs="Arial"/>
          <w:sz w:val="22"/>
          <w:szCs w:val="22"/>
        </w:rPr>
        <w:t>s consider to be its fairest share</w:t>
      </w:r>
      <w:r w:rsidR="004C16F8">
        <w:rPr>
          <w:rFonts w:cs="Arial"/>
          <w:sz w:val="22"/>
          <w:szCs w:val="22"/>
        </w:rPr>
        <w:t>.</w:t>
      </w:r>
      <w:r w:rsidR="00EB5134">
        <w:rPr>
          <w:rFonts w:cs="Arial"/>
          <w:sz w:val="22"/>
          <w:szCs w:val="22"/>
        </w:rPr>
        <w:t xml:space="preserve">  </w:t>
      </w:r>
    </w:p>
    <w:p w:rsidR="00147174" w:rsidRPr="0092027B" w:rsidRDefault="00147174" w:rsidP="00147174">
      <w:pPr>
        <w:rPr>
          <w:rFonts w:cs="Arial"/>
          <w:sz w:val="22"/>
          <w:szCs w:val="22"/>
        </w:rPr>
      </w:pPr>
    </w:p>
    <w:p w:rsidR="00DD1517" w:rsidRDefault="00DD1517" w:rsidP="00147174">
      <w:pPr>
        <w:numPr>
          <w:ilvl w:val="0"/>
          <w:numId w:val="41"/>
        </w:numPr>
        <w:ind w:left="567" w:hanging="567"/>
        <w:rPr>
          <w:sz w:val="22"/>
          <w:szCs w:val="22"/>
        </w:rPr>
      </w:pPr>
      <w:r>
        <w:rPr>
          <w:sz w:val="22"/>
          <w:szCs w:val="22"/>
        </w:rPr>
        <w:t xml:space="preserve">There are several potential issues with a </w:t>
      </w:r>
      <w:r w:rsidR="00977C34">
        <w:rPr>
          <w:sz w:val="22"/>
          <w:szCs w:val="22"/>
        </w:rPr>
        <w:t>very high weighting</w:t>
      </w:r>
      <w:r>
        <w:rPr>
          <w:sz w:val="22"/>
          <w:szCs w:val="22"/>
        </w:rPr>
        <w:t xml:space="preserve"> on presentations.  </w:t>
      </w:r>
    </w:p>
    <w:p w:rsidR="00DD1517" w:rsidRDefault="00DD1517" w:rsidP="00306FCA">
      <w:pPr>
        <w:numPr>
          <w:ilvl w:val="1"/>
          <w:numId w:val="41"/>
        </w:numPr>
        <w:spacing w:before="120"/>
        <w:ind w:left="993" w:hanging="426"/>
        <w:rPr>
          <w:sz w:val="22"/>
          <w:szCs w:val="22"/>
        </w:rPr>
      </w:pPr>
      <w:r w:rsidRPr="00DD1517">
        <w:rPr>
          <w:sz w:val="22"/>
          <w:szCs w:val="22"/>
        </w:rPr>
        <w:t xml:space="preserve">The definition of ‘harm’ in the Act is broad. </w:t>
      </w:r>
      <w:r>
        <w:rPr>
          <w:sz w:val="22"/>
          <w:szCs w:val="22"/>
        </w:rPr>
        <w:t xml:space="preserve"> </w:t>
      </w:r>
      <w:r w:rsidRPr="00DD1517">
        <w:rPr>
          <w:sz w:val="22"/>
          <w:szCs w:val="22"/>
        </w:rPr>
        <w:t xml:space="preserve">Those who seek help </w:t>
      </w:r>
      <w:r w:rsidR="0066703F">
        <w:rPr>
          <w:sz w:val="22"/>
          <w:szCs w:val="22"/>
        </w:rPr>
        <w:t>are</w:t>
      </w:r>
      <w:r w:rsidRPr="00DD1517">
        <w:rPr>
          <w:sz w:val="22"/>
          <w:szCs w:val="22"/>
        </w:rPr>
        <w:t xml:space="preserve"> only a small proportion of those who experience harm</w:t>
      </w:r>
      <w:r>
        <w:rPr>
          <w:sz w:val="22"/>
          <w:szCs w:val="22"/>
        </w:rPr>
        <w:t xml:space="preserve">, </w:t>
      </w:r>
      <w:r w:rsidRPr="00DD1517">
        <w:rPr>
          <w:sz w:val="22"/>
          <w:szCs w:val="22"/>
        </w:rPr>
        <w:t xml:space="preserve">and </w:t>
      </w:r>
      <w:r w:rsidR="0066703F">
        <w:rPr>
          <w:sz w:val="22"/>
          <w:szCs w:val="22"/>
        </w:rPr>
        <w:t>they tend</w:t>
      </w:r>
      <w:r w:rsidRPr="00DD1517">
        <w:rPr>
          <w:sz w:val="22"/>
          <w:szCs w:val="22"/>
        </w:rPr>
        <w:t xml:space="preserve"> to be at the acute end of the continuum.</w:t>
      </w:r>
      <w:r>
        <w:rPr>
          <w:sz w:val="22"/>
          <w:szCs w:val="22"/>
        </w:rPr>
        <w:t xml:space="preserve"> </w:t>
      </w:r>
      <w:r w:rsidRPr="00DD1517">
        <w:rPr>
          <w:sz w:val="22"/>
          <w:szCs w:val="22"/>
        </w:rPr>
        <w:t xml:space="preserve"> </w:t>
      </w:r>
      <w:r>
        <w:rPr>
          <w:sz w:val="22"/>
          <w:szCs w:val="22"/>
        </w:rPr>
        <w:t>G</w:t>
      </w:r>
      <w:r w:rsidRPr="00DD1517">
        <w:rPr>
          <w:sz w:val="22"/>
          <w:szCs w:val="22"/>
        </w:rPr>
        <w:t xml:space="preserve">ambling sectors </w:t>
      </w:r>
      <w:r>
        <w:rPr>
          <w:sz w:val="22"/>
          <w:szCs w:val="22"/>
        </w:rPr>
        <w:t>may not</w:t>
      </w:r>
      <w:r w:rsidRPr="00DD1517">
        <w:rPr>
          <w:sz w:val="22"/>
          <w:szCs w:val="22"/>
        </w:rPr>
        <w:t xml:space="preserve"> </w:t>
      </w:r>
      <w:r>
        <w:rPr>
          <w:sz w:val="22"/>
          <w:szCs w:val="22"/>
        </w:rPr>
        <w:t xml:space="preserve">be </w:t>
      </w:r>
      <w:r w:rsidRPr="00DD1517">
        <w:rPr>
          <w:sz w:val="22"/>
          <w:szCs w:val="22"/>
        </w:rPr>
        <w:t xml:space="preserve">associated with </w:t>
      </w:r>
      <w:r w:rsidR="0066703F">
        <w:rPr>
          <w:sz w:val="22"/>
          <w:szCs w:val="22"/>
        </w:rPr>
        <w:t xml:space="preserve">all forms of </w:t>
      </w:r>
      <w:r w:rsidRPr="00DD1517">
        <w:rPr>
          <w:sz w:val="22"/>
          <w:szCs w:val="22"/>
        </w:rPr>
        <w:t>harm in the same proportions as they are associated with presentations to intervention services.</w:t>
      </w:r>
    </w:p>
    <w:p w:rsidR="00DD1517" w:rsidRPr="00DD1517" w:rsidRDefault="00306FCA" w:rsidP="0066703F">
      <w:pPr>
        <w:numPr>
          <w:ilvl w:val="1"/>
          <w:numId w:val="41"/>
        </w:numPr>
        <w:spacing w:before="120"/>
        <w:ind w:left="992" w:hanging="425"/>
        <w:rPr>
          <w:sz w:val="22"/>
          <w:szCs w:val="22"/>
        </w:rPr>
      </w:pPr>
      <w:r>
        <w:rPr>
          <w:sz w:val="22"/>
          <w:szCs w:val="22"/>
        </w:rPr>
        <w:t>In addition to</w:t>
      </w:r>
      <w:r w:rsidR="00DD1517" w:rsidRPr="00DD1517">
        <w:rPr>
          <w:sz w:val="22"/>
          <w:szCs w:val="22"/>
        </w:rPr>
        <w:t xml:space="preserve"> </w:t>
      </w:r>
      <w:r>
        <w:rPr>
          <w:sz w:val="22"/>
          <w:szCs w:val="22"/>
        </w:rPr>
        <w:t>intervention services</w:t>
      </w:r>
      <w:r w:rsidR="00DD1517" w:rsidRPr="00DD1517">
        <w:rPr>
          <w:sz w:val="22"/>
          <w:szCs w:val="22"/>
        </w:rPr>
        <w:t xml:space="preserve">, the strategy must include measures to promote public health by preventing and minimising the harm from gambling, gambling research (not just </w:t>
      </w:r>
      <w:r w:rsidR="00DD1517" w:rsidRPr="00DD1517">
        <w:rPr>
          <w:i/>
          <w:sz w:val="22"/>
          <w:szCs w:val="22"/>
        </w:rPr>
        <w:t>problem</w:t>
      </w:r>
      <w:r w:rsidR="00DD1517" w:rsidRPr="00DD1517">
        <w:rPr>
          <w:sz w:val="22"/>
          <w:szCs w:val="22"/>
        </w:rPr>
        <w:t xml:space="preserve"> gambling research) and evaluation. </w:t>
      </w:r>
      <w:r>
        <w:rPr>
          <w:sz w:val="22"/>
          <w:szCs w:val="22"/>
        </w:rPr>
        <w:t>A sector’s share</w:t>
      </w:r>
      <w:r w:rsidR="00DD1517" w:rsidRPr="00DD1517">
        <w:rPr>
          <w:sz w:val="22"/>
          <w:szCs w:val="22"/>
        </w:rPr>
        <w:t xml:space="preserve"> of presentations </w:t>
      </w:r>
      <w:r w:rsidR="00DD1517">
        <w:rPr>
          <w:sz w:val="22"/>
          <w:szCs w:val="22"/>
        </w:rPr>
        <w:t>may</w:t>
      </w:r>
      <w:r w:rsidR="00DD1517" w:rsidRPr="00DD1517">
        <w:rPr>
          <w:sz w:val="22"/>
          <w:szCs w:val="22"/>
        </w:rPr>
        <w:t xml:space="preserve"> not necessarily </w:t>
      </w:r>
      <w:r w:rsidR="00DD1517">
        <w:rPr>
          <w:sz w:val="22"/>
          <w:szCs w:val="22"/>
        </w:rPr>
        <w:t>be a fair share</w:t>
      </w:r>
      <w:r w:rsidR="00DD1517" w:rsidRPr="00DD1517">
        <w:rPr>
          <w:sz w:val="22"/>
          <w:szCs w:val="22"/>
        </w:rPr>
        <w:t xml:space="preserve"> </w:t>
      </w:r>
      <w:r w:rsidR="00DD1517">
        <w:rPr>
          <w:sz w:val="22"/>
          <w:szCs w:val="22"/>
        </w:rPr>
        <w:t xml:space="preserve">for </w:t>
      </w:r>
      <w:r w:rsidR="00DD1517" w:rsidRPr="00DD1517">
        <w:rPr>
          <w:sz w:val="22"/>
          <w:szCs w:val="22"/>
        </w:rPr>
        <w:t>that sector</w:t>
      </w:r>
      <w:r w:rsidR="00DD1517">
        <w:rPr>
          <w:sz w:val="22"/>
          <w:szCs w:val="22"/>
        </w:rPr>
        <w:t xml:space="preserve"> to bear</w:t>
      </w:r>
      <w:r w:rsidR="00DD1517" w:rsidRPr="00DD1517">
        <w:rPr>
          <w:sz w:val="22"/>
          <w:szCs w:val="22"/>
        </w:rPr>
        <w:t xml:space="preserve"> of public health, research and evaluation costs. </w:t>
      </w:r>
    </w:p>
    <w:p w:rsidR="00DD1517" w:rsidRDefault="005661E1" w:rsidP="00306FCA">
      <w:pPr>
        <w:numPr>
          <w:ilvl w:val="1"/>
          <w:numId w:val="41"/>
        </w:numPr>
        <w:spacing w:before="120"/>
        <w:ind w:left="993" w:hanging="426"/>
        <w:rPr>
          <w:sz w:val="22"/>
          <w:szCs w:val="22"/>
        </w:rPr>
      </w:pPr>
      <w:r>
        <w:rPr>
          <w:sz w:val="22"/>
          <w:szCs w:val="22"/>
        </w:rPr>
        <w:lastRenderedPageBreak/>
        <w:t xml:space="preserve">A sector’s share of the presentations that are attributable to levy-paying sectors may not necessarily be a fair share for that sector to bear of any costs that result </w:t>
      </w:r>
      <w:r w:rsidR="006B3CF2">
        <w:rPr>
          <w:sz w:val="22"/>
          <w:szCs w:val="22"/>
        </w:rPr>
        <w:t xml:space="preserve">from </w:t>
      </w:r>
      <w:r>
        <w:rPr>
          <w:sz w:val="22"/>
          <w:szCs w:val="22"/>
        </w:rPr>
        <w:t>gambling in sectors that are not subject to the levy</w:t>
      </w:r>
      <w:r w:rsidR="006B3CF2">
        <w:rPr>
          <w:sz w:val="22"/>
          <w:szCs w:val="22"/>
        </w:rPr>
        <w:t xml:space="preserve"> (gambling on overseas-based websites, for example)</w:t>
      </w:r>
      <w:r>
        <w:rPr>
          <w:sz w:val="22"/>
          <w:szCs w:val="22"/>
        </w:rPr>
        <w:t xml:space="preserve">. </w:t>
      </w:r>
    </w:p>
    <w:p w:rsidR="00306FCA" w:rsidRPr="00306FCA" w:rsidRDefault="00306FCA" w:rsidP="00306FCA">
      <w:pPr>
        <w:numPr>
          <w:ilvl w:val="1"/>
          <w:numId w:val="41"/>
        </w:numPr>
        <w:spacing w:before="120"/>
        <w:ind w:left="993" w:hanging="426"/>
        <w:rPr>
          <w:sz w:val="22"/>
          <w:szCs w:val="22"/>
        </w:rPr>
      </w:pPr>
      <w:r>
        <w:rPr>
          <w:sz w:val="22"/>
          <w:szCs w:val="22"/>
        </w:rPr>
        <w:t>A</w:t>
      </w:r>
      <w:r w:rsidRPr="00306FCA">
        <w:rPr>
          <w:sz w:val="22"/>
          <w:szCs w:val="22"/>
        </w:rPr>
        <w:t>s the Gambling Commission noted in its 2009 report,</w:t>
      </w:r>
      <w:r w:rsidRPr="00306FCA">
        <w:rPr>
          <w:rStyle w:val="FootnoteReference"/>
          <w:sz w:val="22"/>
          <w:szCs w:val="22"/>
        </w:rPr>
        <w:footnoteReference w:id="3"/>
      </w:r>
      <w:r w:rsidRPr="00306FCA">
        <w:rPr>
          <w:sz w:val="22"/>
          <w:szCs w:val="22"/>
        </w:rPr>
        <w:t xml:space="preserve"> a very high weighting on presentations might mean that ‘diligent host responsibility in detecting problem gambling and encouraging the seeking of assistance is punished not rewarded’.</w:t>
      </w:r>
    </w:p>
    <w:p w:rsidR="00DD1517" w:rsidRPr="00DD1517" w:rsidRDefault="00DD1517" w:rsidP="00DD1517">
      <w:pPr>
        <w:rPr>
          <w:rFonts w:cs="Arial"/>
          <w:sz w:val="22"/>
          <w:szCs w:val="22"/>
        </w:rPr>
      </w:pPr>
    </w:p>
    <w:p w:rsidR="00147174" w:rsidRDefault="0066703F" w:rsidP="00147174">
      <w:pPr>
        <w:numPr>
          <w:ilvl w:val="0"/>
          <w:numId w:val="41"/>
        </w:numPr>
        <w:ind w:left="567" w:hanging="567"/>
        <w:rPr>
          <w:sz w:val="22"/>
          <w:szCs w:val="22"/>
        </w:rPr>
      </w:pPr>
      <w:r>
        <w:rPr>
          <w:sz w:val="22"/>
          <w:szCs w:val="22"/>
        </w:rPr>
        <w:t>Conversely, even a weighting of 50% on expenditure could be seen as unfairly penalising any form of gambling that is less harmful than its share of expenditure would suggest, and as unfairly benefiting any form of gambling that is more harmful than its share of expenditure would suggest. T</w:t>
      </w:r>
      <w:r w:rsidR="00865DBF">
        <w:rPr>
          <w:sz w:val="22"/>
          <w:szCs w:val="22"/>
        </w:rPr>
        <w:t xml:space="preserve">he strategy is intended to prevent and minimise gambling </w:t>
      </w:r>
      <w:r w:rsidR="00865DBF" w:rsidRPr="00865DBF">
        <w:rPr>
          <w:i/>
          <w:sz w:val="22"/>
          <w:szCs w:val="22"/>
        </w:rPr>
        <w:t>harm</w:t>
      </w:r>
      <w:r w:rsidR="00865DBF">
        <w:rPr>
          <w:sz w:val="22"/>
          <w:szCs w:val="22"/>
        </w:rPr>
        <w:t xml:space="preserve">; it is not intended to address the amount spent on gambling </w:t>
      </w:r>
      <w:r w:rsidR="00865DBF" w:rsidRPr="0091120A">
        <w:rPr>
          <w:i/>
          <w:sz w:val="22"/>
          <w:szCs w:val="22"/>
        </w:rPr>
        <w:t>per se</w:t>
      </w:r>
      <w:r w:rsidR="00865DBF" w:rsidRPr="00865DBF">
        <w:rPr>
          <w:sz w:val="22"/>
          <w:szCs w:val="22"/>
        </w:rPr>
        <w:t>.</w:t>
      </w:r>
      <w:r w:rsidR="00865DBF">
        <w:rPr>
          <w:sz w:val="22"/>
          <w:szCs w:val="22"/>
        </w:rPr>
        <w:t xml:space="preserve">  If there were no harm from gambling, there would be no need for a strategy.  </w:t>
      </w:r>
    </w:p>
    <w:p w:rsidR="00147174" w:rsidRDefault="00147174" w:rsidP="00147174">
      <w:pPr>
        <w:rPr>
          <w:sz w:val="22"/>
          <w:szCs w:val="22"/>
        </w:rPr>
      </w:pPr>
    </w:p>
    <w:p w:rsidR="00865DBF" w:rsidRPr="00865DBF" w:rsidRDefault="00865DBF" w:rsidP="00865DBF">
      <w:pPr>
        <w:numPr>
          <w:ilvl w:val="0"/>
          <w:numId w:val="41"/>
        </w:numPr>
        <w:ind w:left="567" w:hanging="567"/>
        <w:rPr>
          <w:sz w:val="22"/>
          <w:szCs w:val="22"/>
        </w:rPr>
      </w:pPr>
      <w:r>
        <w:rPr>
          <w:sz w:val="22"/>
          <w:szCs w:val="22"/>
        </w:rPr>
        <w:t>As a result</w:t>
      </w:r>
      <w:r w:rsidR="006B3CF2">
        <w:rPr>
          <w:sz w:val="22"/>
          <w:szCs w:val="22"/>
        </w:rPr>
        <w:t xml:space="preserve"> of these considerations</w:t>
      </w:r>
      <w:r>
        <w:rPr>
          <w:sz w:val="22"/>
          <w:szCs w:val="22"/>
        </w:rPr>
        <w:t>, there seems to be</w:t>
      </w:r>
      <w:r w:rsidRPr="00865DBF">
        <w:rPr>
          <w:sz w:val="22"/>
          <w:szCs w:val="22"/>
        </w:rPr>
        <w:t xml:space="preserve"> widespread agreement </w:t>
      </w:r>
      <w:r>
        <w:rPr>
          <w:sz w:val="22"/>
          <w:szCs w:val="22"/>
        </w:rPr>
        <w:t xml:space="preserve">that </w:t>
      </w:r>
      <w:r w:rsidRPr="00865DBF">
        <w:rPr>
          <w:sz w:val="22"/>
          <w:szCs w:val="22"/>
        </w:rPr>
        <w:t xml:space="preserve">presentations, as one indicator of harm, albeit harm at the acute end of the continuum, should be allocated a substantially heavier weighting than expenditure. </w:t>
      </w:r>
      <w:r>
        <w:rPr>
          <w:sz w:val="22"/>
          <w:szCs w:val="22"/>
        </w:rPr>
        <w:t xml:space="preserve"> </w:t>
      </w:r>
    </w:p>
    <w:p w:rsidR="00865DBF" w:rsidRPr="00865DBF" w:rsidRDefault="00865DBF" w:rsidP="00865DBF">
      <w:pPr>
        <w:rPr>
          <w:sz w:val="22"/>
          <w:szCs w:val="22"/>
        </w:rPr>
      </w:pPr>
    </w:p>
    <w:p w:rsidR="001C014D" w:rsidRDefault="007510F1" w:rsidP="00BA0E42">
      <w:pPr>
        <w:numPr>
          <w:ilvl w:val="0"/>
          <w:numId w:val="41"/>
        </w:numPr>
        <w:ind w:left="567" w:hanging="567"/>
        <w:rPr>
          <w:rFonts w:cs="Arial"/>
          <w:sz w:val="22"/>
          <w:szCs w:val="22"/>
        </w:rPr>
      </w:pPr>
      <w:r w:rsidRPr="00122848">
        <w:rPr>
          <w:rFonts w:cs="Arial"/>
          <w:sz w:val="22"/>
          <w:szCs w:val="22"/>
        </w:rPr>
        <w:t xml:space="preserve">Table 2 sets out each sector’s </w:t>
      </w:r>
      <w:r w:rsidR="00F10638">
        <w:rPr>
          <w:rFonts w:cs="Arial"/>
          <w:sz w:val="22"/>
          <w:szCs w:val="22"/>
        </w:rPr>
        <w:t>percentage</w:t>
      </w:r>
      <w:r w:rsidRPr="00122848">
        <w:rPr>
          <w:rFonts w:cs="Arial"/>
          <w:sz w:val="22"/>
          <w:szCs w:val="22"/>
        </w:rPr>
        <w:t xml:space="preserve"> of total player expenditure across the four levy-paying sectors, and each sector’s </w:t>
      </w:r>
      <w:r w:rsidR="00F10638">
        <w:rPr>
          <w:rFonts w:cs="Arial"/>
          <w:sz w:val="22"/>
          <w:szCs w:val="22"/>
        </w:rPr>
        <w:t>percentage</w:t>
      </w:r>
      <w:r w:rsidRPr="00122848">
        <w:rPr>
          <w:rFonts w:cs="Arial"/>
          <w:sz w:val="22"/>
          <w:szCs w:val="22"/>
        </w:rPr>
        <w:t xml:space="preserve"> of </w:t>
      </w:r>
      <w:r w:rsidR="00462B78">
        <w:rPr>
          <w:rFonts w:cs="Arial"/>
          <w:sz w:val="22"/>
          <w:szCs w:val="22"/>
        </w:rPr>
        <w:t>the</w:t>
      </w:r>
      <w:r w:rsidRPr="00122848">
        <w:rPr>
          <w:rFonts w:cs="Arial"/>
          <w:sz w:val="22"/>
          <w:szCs w:val="22"/>
        </w:rPr>
        <w:t xml:space="preserve"> presentations attributed </w:t>
      </w:r>
      <w:r w:rsidR="00462B78">
        <w:rPr>
          <w:rFonts w:cs="Arial"/>
          <w:sz w:val="22"/>
          <w:szCs w:val="22"/>
        </w:rPr>
        <w:t>to the levy-paying sectors,</w:t>
      </w:r>
      <w:r w:rsidRPr="00122848">
        <w:rPr>
          <w:rFonts w:cs="Arial"/>
          <w:sz w:val="22"/>
          <w:szCs w:val="22"/>
        </w:rPr>
        <w:t xml:space="preserve"> </w:t>
      </w:r>
      <w:r w:rsidR="00F06A8B">
        <w:rPr>
          <w:rFonts w:cs="Arial"/>
          <w:sz w:val="22"/>
          <w:szCs w:val="22"/>
        </w:rPr>
        <w:t>in 2011/12, when the current levy was being developed,</w:t>
      </w:r>
      <w:r w:rsidR="00F06A8B" w:rsidRPr="00122848">
        <w:rPr>
          <w:rFonts w:cs="Arial"/>
          <w:sz w:val="22"/>
          <w:szCs w:val="22"/>
        </w:rPr>
        <w:t xml:space="preserve"> </w:t>
      </w:r>
      <w:r w:rsidR="00F06A8B">
        <w:rPr>
          <w:rFonts w:cs="Arial"/>
          <w:sz w:val="22"/>
          <w:szCs w:val="22"/>
        </w:rPr>
        <w:t>and</w:t>
      </w:r>
      <w:r w:rsidR="00F06A8B" w:rsidRPr="00122848">
        <w:rPr>
          <w:rFonts w:cs="Arial"/>
          <w:sz w:val="22"/>
          <w:szCs w:val="22"/>
        </w:rPr>
        <w:t xml:space="preserve"> </w:t>
      </w:r>
      <w:r w:rsidRPr="00122848">
        <w:rPr>
          <w:rFonts w:cs="Arial"/>
          <w:sz w:val="22"/>
          <w:szCs w:val="22"/>
        </w:rPr>
        <w:t>in 2014/15</w:t>
      </w:r>
      <w:r w:rsidR="00F06A8B">
        <w:rPr>
          <w:rFonts w:cs="Arial"/>
          <w:sz w:val="22"/>
          <w:szCs w:val="22"/>
        </w:rPr>
        <w:t>, when the proposed levy for 2016/17 to 2018/19 was being developed</w:t>
      </w:r>
      <w:r w:rsidRPr="00122848">
        <w:rPr>
          <w:rFonts w:cs="Arial"/>
          <w:sz w:val="22"/>
          <w:szCs w:val="22"/>
        </w:rPr>
        <w:t>.</w:t>
      </w:r>
      <w:r w:rsidR="00BA0E42">
        <w:rPr>
          <w:rFonts w:cs="Arial"/>
          <w:sz w:val="22"/>
          <w:szCs w:val="22"/>
        </w:rPr>
        <w:t xml:space="preserve">  </w:t>
      </w:r>
    </w:p>
    <w:p w:rsidR="00CD6E30" w:rsidRDefault="00CD6E30" w:rsidP="00CD6E30">
      <w:pPr>
        <w:rPr>
          <w:sz w:val="22"/>
          <w:szCs w:val="22"/>
        </w:rPr>
      </w:pPr>
    </w:p>
    <w:p w:rsidR="003C579E" w:rsidRPr="00FD5C2D" w:rsidRDefault="003C579E" w:rsidP="003C579E">
      <w:pPr>
        <w:pStyle w:val="Table"/>
        <w:ind w:left="567" w:firstLine="0"/>
        <w:rPr>
          <w:sz w:val="20"/>
        </w:rPr>
      </w:pPr>
      <w:bookmarkStart w:id="37" w:name="_Toc422409759"/>
      <w:bookmarkStart w:id="38" w:name="_Toc422840826"/>
      <w:bookmarkStart w:id="39" w:name="_Toc438213791"/>
      <w:bookmarkStart w:id="40" w:name="_Toc443057202"/>
      <w:r>
        <w:rPr>
          <w:sz w:val="20"/>
        </w:rPr>
        <w:t>Table 2</w:t>
      </w:r>
      <w:r w:rsidRPr="00FD5C2D">
        <w:rPr>
          <w:sz w:val="20"/>
        </w:rPr>
        <w:t xml:space="preserve">: </w:t>
      </w:r>
      <w:r>
        <w:rPr>
          <w:sz w:val="20"/>
        </w:rPr>
        <w:t xml:space="preserve">Share </w:t>
      </w:r>
      <w:r w:rsidRPr="00FD5C2D">
        <w:rPr>
          <w:sz w:val="20"/>
        </w:rPr>
        <w:t xml:space="preserve">of expenditure and presentations by levy-paying sector, </w:t>
      </w:r>
      <w:r w:rsidR="00F06A8B">
        <w:rPr>
          <w:sz w:val="20"/>
        </w:rPr>
        <w:t xml:space="preserve">2011/12 and </w:t>
      </w:r>
      <w:r w:rsidRPr="00FD5C2D">
        <w:rPr>
          <w:sz w:val="20"/>
        </w:rPr>
        <w:t>2014/15</w:t>
      </w:r>
      <w:bookmarkEnd w:id="37"/>
      <w:bookmarkEnd w:id="38"/>
      <w:bookmarkEnd w:id="39"/>
      <w:bookmarkEnd w:id="40"/>
    </w:p>
    <w:tbl>
      <w:tblPr>
        <w:tblW w:w="4697" w:type="pct"/>
        <w:tblInd w:w="567" w:type="dxa"/>
        <w:tblBorders>
          <w:top w:val="single" w:sz="12" w:space="0" w:color="auto"/>
          <w:bottom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85"/>
        <w:gridCol w:w="818"/>
        <w:gridCol w:w="903"/>
        <w:gridCol w:w="1135"/>
        <w:gridCol w:w="708"/>
        <w:gridCol w:w="847"/>
        <w:gridCol w:w="995"/>
        <w:gridCol w:w="896"/>
        <w:gridCol w:w="801"/>
      </w:tblGrid>
      <w:tr w:rsidR="003C579E" w:rsidRPr="00FD5C2D" w:rsidTr="00F06A8B">
        <w:trPr>
          <w:cantSplit/>
          <w:trHeight w:val="293"/>
        </w:trPr>
        <w:tc>
          <w:tcPr>
            <w:tcW w:w="958" w:type="pct"/>
            <w:tcBorders>
              <w:top w:val="single" w:sz="4" w:space="0" w:color="auto"/>
              <w:left w:val="nil"/>
              <w:bottom w:val="nil"/>
              <w:right w:val="single" w:sz="4" w:space="0" w:color="auto"/>
            </w:tcBorders>
            <w:vAlign w:val="center"/>
          </w:tcPr>
          <w:p w:rsidR="003C579E" w:rsidRPr="00FD5C2D" w:rsidRDefault="003C579E" w:rsidP="00EA16D7">
            <w:pPr>
              <w:pStyle w:val="TableText"/>
              <w:spacing w:before="0" w:after="0"/>
              <w:ind w:left="531"/>
              <w:jc w:val="center"/>
              <w:rPr>
                <w:b/>
              </w:rPr>
            </w:pPr>
          </w:p>
        </w:tc>
        <w:tc>
          <w:tcPr>
            <w:tcW w:w="979" w:type="pct"/>
            <w:gridSpan w:val="2"/>
            <w:tcBorders>
              <w:top w:val="single" w:sz="4" w:space="0" w:color="auto"/>
              <w:left w:val="single" w:sz="4" w:space="0" w:color="auto"/>
              <w:bottom w:val="nil"/>
              <w:right w:val="single" w:sz="4" w:space="0" w:color="A6A6A6"/>
            </w:tcBorders>
            <w:shd w:val="clear" w:color="auto" w:fill="auto"/>
            <w:tcMar>
              <w:top w:w="0" w:type="dxa"/>
              <w:left w:w="108" w:type="dxa"/>
              <w:bottom w:w="0" w:type="dxa"/>
              <w:right w:w="108" w:type="dxa"/>
            </w:tcMar>
            <w:vAlign w:val="center"/>
          </w:tcPr>
          <w:p w:rsidR="003C579E" w:rsidRPr="00FD5C2D" w:rsidRDefault="003C579E" w:rsidP="00EA16D7">
            <w:pPr>
              <w:pStyle w:val="TableText"/>
              <w:spacing w:before="0" w:after="0"/>
              <w:jc w:val="center"/>
              <w:rPr>
                <w:rFonts w:eastAsia="Arial Unicode MS"/>
                <w:b/>
              </w:rPr>
            </w:pPr>
            <w:r w:rsidRPr="00FD5C2D">
              <w:rPr>
                <w:b/>
              </w:rPr>
              <w:t>NCGMs</w:t>
            </w:r>
          </w:p>
        </w:tc>
        <w:tc>
          <w:tcPr>
            <w:tcW w:w="1049" w:type="pct"/>
            <w:gridSpan w:val="2"/>
            <w:tcBorders>
              <w:top w:val="single" w:sz="4" w:space="0" w:color="auto"/>
              <w:left w:val="single" w:sz="4" w:space="0" w:color="A6A6A6"/>
              <w:bottom w:val="nil"/>
              <w:right w:val="single" w:sz="4" w:space="0" w:color="A6A6A6"/>
            </w:tcBorders>
            <w:shd w:val="clear" w:color="auto" w:fill="auto"/>
            <w:tcMar>
              <w:top w:w="0" w:type="dxa"/>
              <w:left w:w="108" w:type="dxa"/>
              <w:bottom w:w="0" w:type="dxa"/>
              <w:right w:w="108" w:type="dxa"/>
            </w:tcMar>
            <w:vAlign w:val="center"/>
          </w:tcPr>
          <w:p w:rsidR="003C579E" w:rsidRPr="00FD5C2D" w:rsidRDefault="003C579E" w:rsidP="00EA16D7">
            <w:pPr>
              <w:pStyle w:val="TableText"/>
              <w:spacing w:before="0" w:after="0"/>
              <w:jc w:val="center"/>
              <w:rPr>
                <w:rFonts w:eastAsia="Arial Unicode MS"/>
                <w:b/>
              </w:rPr>
            </w:pPr>
            <w:r w:rsidRPr="00FD5C2D">
              <w:rPr>
                <w:b/>
              </w:rPr>
              <w:t>Casinos</w:t>
            </w:r>
          </w:p>
        </w:tc>
        <w:tc>
          <w:tcPr>
            <w:tcW w:w="1048" w:type="pct"/>
            <w:gridSpan w:val="2"/>
            <w:tcBorders>
              <w:top w:val="single" w:sz="4" w:space="0" w:color="auto"/>
              <w:left w:val="single" w:sz="4" w:space="0" w:color="A6A6A6"/>
              <w:bottom w:val="nil"/>
              <w:right w:val="single" w:sz="4" w:space="0" w:color="A6A6A6"/>
            </w:tcBorders>
            <w:shd w:val="clear" w:color="auto" w:fill="auto"/>
            <w:tcMar>
              <w:top w:w="0" w:type="dxa"/>
              <w:left w:w="108" w:type="dxa"/>
              <w:bottom w:w="0" w:type="dxa"/>
              <w:right w:w="108" w:type="dxa"/>
            </w:tcMar>
            <w:vAlign w:val="center"/>
          </w:tcPr>
          <w:p w:rsidR="003C579E" w:rsidRPr="00FD5C2D" w:rsidRDefault="003C579E" w:rsidP="00EA16D7">
            <w:pPr>
              <w:pStyle w:val="TableText"/>
              <w:spacing w:before="0" w:after="0"/>
              <w:jc w:val="center"/>
              <w:rPr>
                <w:rFonts w:eastAsia="Arial Unicode MS"/>
                <w:b/>
              </w:rPr>
            </w:pPr>
            <w:r w:rsidRPr="00FD5C2D">
              <w:rPr>
                <w:b/>
              </w:rPr>
              <w:t>NZRB</w:t>
            </w:r>
          </w:p>
        </w:tc>
        <w:tc>
          <w:tcPr>
            <w:tcW w:w="967" w:type="pct"/>
            <w:gridSpan w:val="2"/>
            <w:tcBorders>
              <w:top w:val="single" w:sz="4" w:space="0" w:color="auto"/>
              <w:left w:val="single" w:sz="4" w:space="0" w:color="A6A6A6"/>
              <w:bottom w:val="nil"/>
            </w:tcBorders>
            <w:shd w:val="clear" w:color="auto" w:fill="auto"/>
            <w:vAlign w:val="center"/>
          </w:tcPr>
          <w:p w:rsidR="003C579E" w:rsidRPr="00FD5C2D" w:rsidRDefault="003C579E" w:rsidP="00EA16D7">
            <w:pPr>
              <w:pStyle w:val="TableText"/>
              <w:spacing w:before="0" w:after="0"/>
              <w:jc w:val="center"/>
              <w:rPr>
                <w:b/>
              </w:rPr>
            </w:pPr>
            <w:r w:rsidRPr="00FD5C2D">
              <w:rPr>
                <w:b/>
              </w:rPr>
              <w:t>NZLC</w:t>
            </w:r>
          </w:p>
        </w:tc>
      </w:tr>
      <w:tr w:rsidR="003C579E" w:rsidRPr="00462B78" w:rsidTr="00F06A8B">
        <w:trPr>
          <w:cantSplit/>
        </w:trPr>
        <w:tc>
          <w:tcPr>
            <w:tcW w:w="958" w:type="pct"/>
            <w:tcBorders>
              <w:top w:val="nil"/>
              <w:left w:val="nil"/>
              <w:bottom w:val="single" w:sz="4" w:space="0" w:color="auto"/>
              <w:right w:val="single" w:sz="4" w:space="0" w:color="auto"/>
            </w:tcBorders>
            <w:vAlign w:val="center"/>
          </w:tcPr>
          <w:p w:rsidR="003C579E" w:rsidRPr="00462B78" w:rsidRDefault="003C579E" w:rsidP="00EA16D7">
            <w:pPr>
              <w:pStyle w:val="TableText"/>
              <w:spacing w:before="0" w:after="0"/>
              <w:ind w:left="531"/>
              <w:jc w:val="center"/>
              <w:rPr>
                <w:b/>
              </w:rPr>
            </w:pPr>
          </w:p>
        </w:tc>
        <w:tc>
          <w:tcPr>
            <w:tcW w:w="465" w:type="pct"/>
            <w:tcBorders>
              <w:top w:val="nil"/>
              <w:left w:val="single" w:sz="4" w:space="0" w:color="auto"/>
              <w:bottom w:val="single" w:sz="4" w:space="0" w:color="auto"/>
              <w:right w:val="nil"/>
            </w:tcBorders>
            <w:shd w:val="clear" w:color="auto" w:fill="auto"/>
            <w:tcMar>
              <w:top w:w="0" w:type="dxa"/>
              <w:left w:w="108" w:type="dxa"/>
              <w:bottom w:w="0" w:type="dxa"/>
              <w:right w:w="108" w:type="dxa"/>
            </w:tcMar>
            <w:vAlign w:val="center"/>
          </w:tcPr>
          <w:p w:rsidR="003C579E" w:rsidRPr="00462B78" w:rsidRDefault="003C579E" w:rsidP="00EA16D7">
            <w:pPr>
              <w:pStyle w:val="TableText"/>
              <w:spacing w:before="0" w:after="0"/>
              <w:jc w:val="center"/>
              <w:rPr>
                <w:b/>
              </w:rPr>
            </w:pPr>
            <w:r w:rsidRPr="00462B78">
              <w:rPr>
                <w:b/>
              </w:rPr>
              <w:t>Exp.</w:t>
            </w:r>
          </w:p>
        </w:tc>
        <w:tc>
          <w:tcPr>
            <w:tcW w:w="514" w:type="pct"/>
            <w:tcBorders>
              <w:top w:val="nil"/>
              <w:left w:val="nil"/>
              <w:bottom w:val="single" w:sz="4" w:space="0" w:color="auto"/>
              <w:right w:val="single" w:sz="4" w:space="0" w:color="A6A6A6"/>
            </w:tcBorders>
            <w:shd w:val="clear" w:color="auto" w:fill="auto"/>
            <w:vAlign w:val="center"/>
          </w:tcPr>
          <w:p w:rsidR="003C579E" w:rsidRPr="00462B78" w:rsidRDefault="003C579E" w:rsidP="00EA16D7">
            <w:pPr>
              <w:pStyle w:val="TableText"/>
              <w:spacing w:before="0" w:after="0"/>
              <w:jc w:val="center"/>
              <w:rPr>
                <w:b/>
              </w:rPr>
            </w:pPr>
            <w:r w:rsidRPr="00462B78">
              <w:rPr>
                <w:b/>
              </w:rPr>
              <w:t>Pres.</w:t>
            </w:r>
          </w:p>
        </w:tc>
        <w:tc>
          <w:tcPr>
            <w:tcW w:w="646" w:type="pct"/>
            <w:tcBorders>
              <w:top w:val="nil"/>
              <w:left w:val="single" w:sz="4" w:space="0" w:color="A6A6A6"/>
              <w:bottom w:val="single" w:sz="4" w:space="0" w:color="auto"/>
              <w:right w:val="nil"/>
            </w:tcBorders>
            <w:shd w:val="clear" w:color="auto" w:fill="auto"/>
            <w:tcMar>
              <w:top w:w="0" w:type="dxa"/>
              <w:left w:w="108" w:type="dxa"/>
              <w:bottom w:w="0" w:type="dxa"/>
              <w:right w:w="108" w:type="dxa"/>
            </w:tcMar>
            <w:vAlign w:val="center"/>
          </w:tcPr>
          <w:p w:rsidR="003C579E" w:rsidRPr="00462B78" w:rsidRDefault="003C579E" w:rsidP="00EA16D7">
            <w:pPr>
              <w:pStyle w:val="TableText"/>
              <w:spacing w:before="0" w:after="0"/>
              <w:jc w:val="center"/>
              <w:rPr>
                <w:b/>
              </w:rPr>
            </w:pPr>
            <w:r w:rsidRPr="00462B78">
              <w:rPr>
                <w:b/>
              </w:rPr>
              <w:t>Exp.</w:t>
            </w:r>
          </w:p>
        </w:tc>
        <w:tc>
          <w:tcPr>
            <w:tcW w:w="403" w:type="pct"/>
            <w:tcBorders>
              <w:top w:val="nil"/>
              <w:left w:val="nil"/>
              <w:bottom w:val="single" w:sz="4" w:space="0" w:color="auto"/>
              <w:right w:val="single" w:sz="4" w:space="0" w:color="A6A6A6"/>
            </w:tcBorders>
            <w:shd w:val="clear" w:color="auto" w:fill="auto"/>
            <w:vAlign w:val="center"/>
          </w:tcPr>
          <w:p w:rsidR="003C579E" w:rsidRPr="00462B78" w:rsidRDefault="003C579E" w:rsidP="00EA16D7">
            <w:pPr>
              <w:pStyle w:val="TableText"/>
              <w:spacing w:before="0" w:after="0"/>
              <w:jc w:val="center"/>
              <w:rPr>
                <w:b/>
              </w:rPr>
            </w:pPr>
            <w:r w:rsidRPr="00462B78">
              <w:rPr>
                <w:b/>
              </w:rPr>
              <w:t>Pres.</w:t>
            </w:r>
          </w:p>
        </w:tc>
        <w:tc>
          <w:tcPr>
            <w:tcW w:w="482" w:type="pct"/>
            <w:tcBorders>
              <w:top w:val="nil"/>
              <w:left w:val="single" w:sz="4" w:space="0" w:color="A6A6A6"/>
              <w:bottom w:val="single" w:sz="4" w:space="0" w:color="auto"/>
              <w:right w:val="nil"/>
            </w:tcBorders>
            <w:shd w:val="clear" w:color="auto" w:fill="auto"/>
            <w:tcMar>
              <w:top w:w="0" w:type="dxa"/>
              <w:left w:w="108" w:type="dxa"/>
              <w:bottom w:w="0" w:type="dxa"/>
              <w:right w:w="108" w:type="dxa"/>
            </w:tcMar>
            <w:vAlign w:val="center"/>
          </w:tcPr>
          <w:p w:rsidR="003C579E" w:rsidRPr="00462B78" w:rsidRDefault="003C579E" w:rsidP="00EA16D7">
            <w:pPr>
              <w:pStyle w:val="TableText"/>
              <w:spacing w:before="0" w:after="0"/>
              <w:jc w:val="center"/>
              <w:rPr>
                <w:b/>
              </w:rPr>
            </w:pPr>
            <w:r w:rsidRPr="00462B78">
              <w:rPr>
                <w:b/>
              </w:rPr>
              <w:t>Exp.</w:t>
            </w:r>
          </w:p>
        </w:tc>
        <w:tc>
          <w:tcPr>
            <w:tcW w:w="566" w:type="pct"/>
            <w:tcBorders>
              <w:top w:val="nil"/>
              <w:left w:val="nil"/>
              <w:bottom w:val="single" w:sz="4" w:space="0" w:color="auto"/>
              <w:right w:val="single" w:sz="4" w:space="0" w:color="A6A6A6"/>
            </w:tcBorders>
            <w:shd w:val="clear" w:color="auto" w:fill="auto"/>
            <w:vAlign w:val="center"/>
          </w:tcPr>
          <w:p w:rsidR="003C579E" w:rsidRPr="00462B78" w:rsidRDefault="003C579E" w:rsidP="00EA16D7">
            <w:pPr>
              <w:pStyle w:val="TableText"/>
              <w:spacing w:before="0" w:after="0"/>
              <w:jc w:val="center"/>
              <w:rPr>
                <w:b/>
              </w:rPr>
            </w:pPr>
            <w:r w:rsidRPr="00462B78">
              <w:rPr>
                <w:b/>
              </w:rPr>
              <w:t>Pres.</w:t>
            </w:r>
          </w:p>
        </w:tc>
        <w:tc>
          <w:tcPr>
            <w:tcW w:w="510" w:type="pct"/>
            <w:tcBorders>
              <w:top w:val="nil"/>
              <w:left w:val="single" w:sz="4" w:space="0" w:color="A6A6A6"/>
              <w:bottom w:val="single" w:sz="4" w:space="0" w:color="auto"/>
              <w:right w:val="nil"/>
            </w:tcBorders>
            <w:shd w:val="clear" w:color="auto" w:fill="auto"/>
            <w:vAlign w:val="center"/>
          </w:tcPr>
          <w:p w:rsidR="003C579E" w:rsidRPr="00462B78" w:rsidRDefault="003C579E" w:rsidP="00EA16D7">
            <w:pPr>
              <w:pStyle w:val="TableText"/>
              <w:spacing w:before="0" w:after="0"/>
              <w:jc w:val="center"/>
              <w:rPr>
                <w:b/>
              </w:rPr>
            </w:pPr>
            <w:r w:rsidRPr="00462B78">
              <w:rPr>
                <w:b/>
              </w:rPr>
              <w:t>Exp.</w:t>
            </w:r>
          </w:p>
        </w:tc>
        <w:tc>
          <w:tcPr>
            <w:tcW w:w="457" w:type="pct"/>
            <w:tcBorders>
              <w:top w:val="nil"/>
              <w:left w:val="nil"/>
              <w:bottom w:val="single" w:sz="4" w:space="0" w:color="auto"/>
            </w:tcBorders>
            <w:shd w:val="clear" w:color="auto" w:fill="auto"/>
            <w:vAlign w:val="center"/>
          </w:tcPr>
          <w:p w:rsidR="003C579E" w:rsidRPr="00462B78" w:rsidRDefault="003C579E" w:rsidP="00EA16D7">
            <w:pPr>
              <w:pStyle w:val="TableText"/>
              <w:spacing w:before="0" w:after="0"/>
              <w:jc w:val="center"/>
              <w:rPr>
                <w:b/>
              </w:rPr>
            </w:pPr>
            <w:r w:rsidRPr="00462B78">
              <w:rPr>
                <w:b/>
              </w:rPr>
              <w:t>Pres.</w:t>
            </w:r>
          </w:p>
        </w:tc>
      </w:tr>
      <w:tr w:rsidR="00F06A8B" w:rsidRPr="00462B78" w:rsidTr="00F06A8B">
        <w:trPr>
          <w:cantSplit/>
        </w:trPr>
        <w:tc>
          <w:tcPr>
            <w:tcW w:w="958" w:type="pct"/>
            <w:tcBorders>
              <w:top w:val="single" w:sz="4" w:space="0" w:color="auto"/>
              <w:left w:val="nil"/>
              <w:bottom w:val="single" w:sz="4" w:space="0" w:color="auto"/>
              <w:right w:val="single" w:sz="4" w:space="0" w:color="auto"/>
            </w:tcBorders>
            <w:vAlign w:val="center"/>
          </w:tcPr>
          <w:p w:rsidR="00F06A8B" w:rsidRPr="007E66C9" w:rsidRDefault="00F06A8B" w:rsidP="00D848BE">
            <w:pPr>
              <w:pStyle w:val="TableText"/>
              <w:rPr>
                <w:rFonts w:eastAsia="Arial Unicode MS"/>
                <w:b/>
              </w:rPr>
            </w:pPr>
            <w:r w:rsidRPr="007E66C9">
              <w:rPr>
                <w:rFonts w:eastAsia="Arial Unicode MS"/>
                <w:b/>
              </w:rPr>
              <w:t>2011/12</w:t>
            </w:r>
          </w:p>
        </w:tc>
        <w:tc>
          <w:tcPr>
            <w:tcW w:w="465" w:type="pct"/>
            <w:tcBorders>
              <w:top w:val="single" w:sz="4" w:space="0" w:color="auto"/>
              <w:left w:val="single" w:sz="4" w:space="0" w:color="auto"/>
              <w:bottom w:val="single" w:sz="4" w:space="0" w:color="auto"/>
              <w:right w:val="nil"/>
            </w:tcBorders>
            <w:shd w:val="clear" w:color="auto" w:fill="auto"/>
            <w:noWrap/>
            <w:tcMar>
              <w:top w:w="0" w:type="dxa"/>
              <w:left w:w="108" w:type="dxa"/>
              <w:bottom w:w="0" w:type="dxa"/>
              <w:right w:w="108" w:type="dxa"/>
            </w:tcMar>
          </w:tcPr>
          <w:p w:rsidR="00F06A8B" w:rsidRPr="007E66C9" w:rsidRDefault="00F06A8B" w:rsidP="00D848BE">
            <w:pPr>
              <w:pStyle w:val="TableText"/>
              <w:jc w:val="center"/>
              <w:rPr>
                <w:rFonts w:eastAsia="Arial Unicode MS"/>
              </w:rPr>
            </w:pPr>
            <w:r w:rsidRPr="007E66C9">
              <w:rPr>
                <w:rFonts w:eastAsia="Arial Unicode MS"/>
              </w:rPr>
              <w:t>42.2%</w:t>
            </w:r>
          </w:p>
        </w:tc>
        <w:tc>
          <w:tcPr>
            <w:tcW w:w="514" w:type="pct"/>
            <w:tcBorders>
              <w:top w:val="single" w:sz="4" w:space="0" w:color="auto"/>
              <w:left w:val="nil"/>
              <w:bottom w:val="single" w:sz="4" w:space="0" w:color="auto"/>
              <w:right w:val="single" w:sz="4" w:space="0" w:color="A6A6A6"/>
            </w:tcBorders>
            <w:shd w:val="clear" w:color="auto" w:fill="auto"/>
          </w:tcPr>
          <w:p w:rsidR="00F06A8B" w:rsidRPr="007E66C9" w:rsidRDefault="00F06A8B" w:rsidP="00D848BE">
            <w:pPr>
              <w:pStyle w:val="TableText"/>
              <w:jc w:val="center"/>
              <w:rPr>
                <w:rFonts w:eastAsia="Arial Unicode MS"/>
              </w:rPr>
            </w:pPr>
            <w:r w:rsidRPr="007E66C9">
              <w:rPr>
                <w:rFonts w:eastAsia="Arial Unicode MS"/>
              </w:rPr>
              <w:t>64.1%</w:t>
            </w:r>
          </w:p>
        </w:tc>
        <w:tc>
          <w:tcPr>
            <w:tcW w:w="646" w:type="pct"/>
            <w:tcBorders>
              <w:top w:val="single" w:sz="4" w:space="0" w:color="auto"/>
              <w:left w:val="single" w:sz="4" w:space="0" w:color="A6A6A6"/>
              <w:bottom w:val="single" w:sz="4" w:space="0" w:color="auto"/>
              <w:right w:val="nil"/>
            </w:tcBorders>
            <w:shd w:val="clear" w:color="auto" w:fill="auto"/>
            <w:noWrap/>
            <w:tcMar>
              <w:top w:w="0" w:type="dxa"/>
              <w:left w:w="108" w:type="dxa"/>
              <w:bottom w:w="0" w:type="dxa"/>
              <w:right w:w="108" w:type="dxa"/>
            </w:tcMar>
          </w:tcPr>
          <w:p w:rsidR="00F06A8B" w:rsidRPr="007E66C9" w:rsidRDefault="00F06A8B" w:rsidP="00D848BE">
            <w:pPr>
              <w:pStyle w:val="TableText"/>
              <w:jc w:val="center"/>
              <w:rPr>
                <w:rFonts w:eastAsia="Arial Unicode MS"/>
              </w:rPr>
            </w:pPr>
            <w:r w:rsidRPr="007E66C9">
              <w:rPr>
                <w:rFonts w:eastAsia="Arial Unicode MS"/>
              </w:rPr>
              <w:t>23.9%</w:t>
            </w:r>
          </w:p>
        </w:tc>
        <w:tc>
          <w:tcPr>
            <w:tcW w:w="403" w:type="pct"/>
            <w:tcBorders>
              <w:top w:val="single" w:sz="4" w:space="0" w:color="auto"/>
              <w:left w:val="nil"/>
              <w:bottom w:val="single" w:sz="4" w:space="0" w:color="auto"/>
              <w:right w:val="single" w:sz="4" w:space="0" w:color="A6A6A6"/>
            </w:tcBorders>
            <w:shd w:val="clear" w:color="auto" w:fill="auto"/>
          </w:tcPr>
          <w:p w:rsidR="00F06A8B" w:rsidRPr="007E66C9" w:rsidRDefault="00F06A8B" w:rsidP="00D848BE">
            <w:pPr>
              <w:pStyle w:val="TableText"/>
              <w:jc w:val="center"/>
              <w:rPr>
                <w:rFonts w:eastAsia="Arial Unicode MS"/>
              </w:rPr>
            </w:pPr>
            <w:r w:rsidRPr="007E66C9">
              <w:rPr>
                <w:rFonts w:eastAsia="Arial Unicode MS"/>
              </w:rPr>
              <w:t>20.5%</w:t>
            </w:r>
          </w:p>
        </w:tc>
        <w:tc>
          <w:tcPr>
            <w:tcW w:w="482" w:type="pct"/>
            <w:tcBorders>
              <w:top w:val="single" w:sz="4" w:space="0" w:color="auto"/>
              <w:left w:val="single" w:sz="4" w:space="0" w:color="A6A6A6"/>
              <w:bottom w:val="single" w:sz="4" w:space="0" w:color="auto"/>
              <w:right w:val="nil"/>
            </w:tcBorders>
            <w:shd w:val="clear" w:color="auto" w:fill="auto"/>
            <w:noWrap/>
            <w:tcMar>
              <w:top w:w="0" w:type="dxa"/>
              <w:left w:w="108" w:type="dxa"/>
              <w:bottom w:w="0" w:type="dxa"/>
              <w:right w:w="108" w:type="dxa"/>
            </w:tcMar>
          </w:tcPr>
          <w:p w:rsidR="00F06A8B" w:rsidRPr="007E66C9" w:rsidRDefault="00F06A8B" w:rsidP="00D848BE">
            <w:pPr>
              <w:pStyle w:val="TableText"/>
              <w:jc w:val="center"/>
              <w:rPr>
                <w:rFonts w:eastAsia="Arial Unicode MS"/>
              </w:rPr>
            </w:pPr>
            <w:r w:rsidRPr="007E66C9">
              <w:rPr>
                <w:rFonts w:eastAsia="Arial Unicode MS"/>
              </w:rPr>
              <w:t>14.0%</w:t>
            </w:r>
          </w:p>
        </w:tc>
        <w:tc>
          <w:tcPr>
            <w:tcW w:w="566" w:type="pct"/>
            <w:tcBorders>
              <w:top w:val="single" w:sz="4" w:space="0" w:color="auto"/>
              <w:left w:val="nil"/>
              <w:bottom w:val="single" w:sz="4" w:space="0" w:color="auto"/>
              <w:right w:val="single" w:sz="4" w:space="0" w:color="A6A6A6"/>
            </w:tcBorders>
            <w:shd w:val="clear" w:color="auto" w:fill="auto"/>
          </w:tcPr>
          <w:p w:rsidR="00F06A8B" w:rsidRPr="007E66C9" w:rsidRDefault="00F06A8B" w:rsidP="00D848BE">
            <w:pPr>
              <w:pStyle w:val="TableText"/>
              <w:jc w:val="center"/>
              <w:rPr>
                <w:rFonts w:eastAsia="Arial Unicode MS"/>
              </w:rPr>
            </w:pPr>
            <w:r w:rsidRPr="007E66C9">
              <w:rPr>
                <w:rFonts w:eastAsia="Arial Unicode MS"/>
              </w:rPr>
              <w:t>9.5%</w:t>
            </w:r>
          </w:p>
        </w:tc>
        <w:tc>
          <w:tcPr>
            <w:tcW w:w="510" w:type="pct"/>
            <w:tcBorders>
              <w:top w:val="single" w:sz="4" w:space="0" w:color="auto"/>
              <w:left w:val="single" w:sz="4" w:space="0" w:color="A6A6A6"/>
              <w:bottom w:val="single" w:sz="4" w:space="0" w:color="auto"/>
              <w:right w:val="nil"/>
            </w:tcBorders>
            <w:shd w:val="clear" w:color="auto" w:fill="auto"/>
          </w:tcPr>
          <w:p w:rsidR="00F06A8B" w:rsidRPr="007E66C9" w:rsidRDefault="00F06A8B" w:rsidP="00D848BE">
            <w:pPr>
              <w:pStyle w:val="TableText"/>
              <w:jc w:val="center"/>
              <w:rPr>
                <w:rFonts w:eastAsia="Arial Unicode MS"/>
              </w:rPr>
            </w:pPr>
            <w:r w:rsidRPr="007E66C9">
              <w:rPr>
                <w:rFonts w:eastAsia="Arial Unicode MS"/>
              </w:rPr>
              <w:t>19.9%</w:t>
            </w:r>
          </w:p>
        </w:tc>
        <w:tc>
          <w:tcPr>
            <w:tcW w:w="457" w:type="pct"/>
            <w:tcBorders>
              <w:top w:val="single" w:sz="4" w:space="0" w:color="auto"/>
              <w:left w:val="nil"/>
              <w:bottom w:val="single" w:sz="4" w:space="0" w:color="auto"/>
            </w:tcBorders>
            <w:shd w:val="clear" w:color="auto" w:fill="auto"/>
          </w:tcPr>
          <w:p w:rsidR="00F06A8B" w:rsidRPr="00462B78" w:rsidRDefault="00F06A8B" w:rsidP="00D848BE">
            <w:pPr>
              <w:pStyle w:val="TableText"/>
              <w:jc w:val="center"/>
              <w:rPr>
                <w:rFonts w:eastAsia="Arial Unicode MS"/>
              </w:rPr>
            </w:pPr>
            <w:r w:rsidRPr="007E66C9">
              <w:rPr>
                <w:rFonts w:eastAsia="Arial Unicode MS"/>
              </w:rPr>
              <w:t>5.9%</w:t>
            </w:r>
          </w:p>
        </w:tc>
      </w:tr>
      <w:tr w:rsidR="003C579E" w:rsidRPr="00FD5C2D" w:rsidTr="00F06A8B">
        <w:trPr>
          <w:cantSplit/>
        </w:trPr>
        <w:tc>
          <w:tcPr>
            <w:tcW w:w="958" w:type="pct"/>
            <w:tcBorders>
              <w:top w:val="single" w:sz="4" w:space="0" w:color="auto"/>
              <w:left w:val="nil"/>
              <w:bottom w:val="single" w:sz="4" w:space="0" w:color="auto"/>
              <w:right w:val="single" w:sz="4" w:space="0" w:color="auto"/>
            </w:tcBorders>
            <w:vAlign w:val="center"/>
          </w:tcPr>
          <w:p w:rsidR="003C579E" w:rsidRPr="00462B78" w:rsidRDefault="003C579E" w:rsidP="00EA16D7">
            <w:pPr>
              <w:pStyle w:val="TableText"/>
              <w:rPr>
                <w:rFonts w:eastAsia="Arial Unicode MS"/>
                <w:b/>
              </w:rPr>
            </w:pPr>
            <w:r w:rsidRPr="00462B78">
              <w:rPr>
                <w:rFonts w:eastAsia="Arial Unicode MS"/>
                <w:b/>
              </w:rPr>
              <w:t>2014/15</w:t>
            </w:r>
          </w:p>
        </w:tc>
        <w:tc>
          <w:tcPr>
            <w:tcW w:w="465" w:type="pct"/>
            <w:tcBorders>
              <w:top w:val="single" w:sz="4" w:space="0" w:color="auto"/>
              <w:left w:val="single" w:sz="4" w:space="0" w:color="auto"/>
              <w:bottom w:val="single" w:sz="4" w:space="0" w:color="auto"/>
              <w:right w:val="nil"/>
            </w:tcBorders>
            <w:shd w:val="clear" w:color="auto" w:fill="auto"/>
            <w:noWrap/>
            <w:tcMar>
              <w:top w:w="0" w:type="dxa"/>
              <w:left w:w="108" w:type="dxa"/>
              <w:bottom w:w="0" w:type="dxa"/>
              <w:right w:w="108" w:type="dxa"/>
            </w:tcMar>
          </w:tcPr>
          <w:p w:rsidR="003C579E" w:rsidRPr="00FD5C2D" w:rsidRDefault="003C579E" w:rsidP="00EA16D7">
            <w:pPr>
              <w:pStyle w:val="TableText"/>
              <w:jc w:val="center"/>
              <w:rPr>
                <w:rFonts w:eastAsia="Arial Unicode MS"/>
              </w:rPr>
            </w:pPr>
            <w:r w:rsidRPr="00FD5C2D">
              <w:rPr>
                <w:rFonts w:eastAsia="Arial Unicode MS"/>
              </w:rPr>
              <w:t>39</w:t>
            </w:r>
            <w:r>
              <w:rPr>
                <w:rFonts w:eastAsia="Arial Unicode MS"/>
              </w:rPr>
              <w:t>.</w:t>
            </w:r>
            <w:r w:rsidRPr="00FD5C2D">
              <w:rPr>
                <w:rFonts w:eastAsia="Arial Unicode MS"/>
              </w:rPr>
              <w:t>7</w:t>
            </w:r>
            <w:r>
              <w:rPr>
                <w:rFonts w:eastAsia="Arial Unicode MS"/>
              </w:rPr>
              <w:t>%</w:t>
            </w:r>
          </w:p>
        </w:tc>
        <w:tc>
          <w:tcPr>
            <w:tcW w:w="514" w:type="pct"/>
            <w:tcBorders>
              <w:top w:val="single" w:sz="4" w:space="0" w:color="auto"/>
              <w:left w:val="nil"/>
              <w:bottom w:val="single" w:sz="4" w:space="0" w:color="auto"/>
              <w:right w:val="single" w:sz="4" w:space="0" w:color="A6A6A6"/>
            </w:tcBorders>
            <w:shd w:val="clear" w:color="auto" w:fill="auto"/>
          </w:tcPr>
          <w:p w:rsidR="003C579E" w:rsidRPr="00FD5C2D" w:rsidRDefault="003C579E" w:rsidP="00EA16D7">
            <w:pPr>
              <w:pStyle w:val="TableText"/>
              <w:jc w:val="center"/>
              <w:rPr>
                <w:rFonts w:eastAsia="Arial Unicode MS"/>
              </w:rPr>
            </w:pPr>
            <w:r w:rsidRPr="00FD5C2D">
              <w:rPr>
                <w:rFonts w:eastAsia="Arial Unicode MS"/>
              </w:rPr>
              <w:t>56</w:t>
            </w:r>
            <w:r>
              <w:rPr>
                <w:rFonts w:eastAsia="Arial Unicode MS"/>
              </w:rPr>
              <w:t>.</w:t>
            </w:r>
            <w:r w:rsidRPr="00FD5C2D">
              <w:rPr>
                <w:rFonts w:eastAsia="Arial Unicode MS"/>
              </w:rPr>
              <w:t>7</w:t>
            </w:r>
            <w:r>
              <w:rPr>
                <w:rFonts w:eastAsia="Arial Unicode MS"/>
              </w:rPr>
              <w:t>%</w:t>
            </w:r>
          </w:p>
        </w:tc>
        <w:tc>
          <w:tcPr>
            <w:tcW w:w="646" w:type="pct"/>
            <w:tcBorders>
              <w:top w:val="single" w:sz="4" w:space="0" w:color="auto"/>
              <w:left w:val="single" w:sz="4" w:space="0" w:color="A6A6A6"/>
              <w:bottom w:val="single" w:sz="4" w:space="0" w:color="auto"/>
              <w:right w:val="nil"/>
            </w:tcBorders>
            <w:shd w:val="clear" w:color="auto" w:fill="auto"/>
            <w:noWrap/>
            <w:tcMar>
              <w:top w:w="0" w:type="dxa"/>
              <w:left w:w="108" w:type="dxa"/>
              <w:bottom w:w="0" w:type="dxa"/>
              <w:right w:w="108" w:type="dxa"/>
            </w:tcMar>
          </w:tcPr>
          <w:p w:rsidR="003C579E" w:rsidRPr="00FD5C2D" w:rsidRDefault="003C579E" w:rsidP="00EA16D7">
            <w:pPr>
              <w:pStyle w:val="TableText"/>
              <w:jc w:val="center"/>
              <w:rPr>
                <w:rFonts w:eastAsia="Arial Unicode MS"/>
              </w:rPr>
            </w:pPr>
            <w:r w:rsidRPr="00FD5C2D">
              <w:rPr>
                <w:rFonts w:eastAsia="Arial Unicode MS"/>
              </w:rPr>
              <w:t>25</w:t>
            </w:r>
            <w:r>
              <w:rPr>
                <w:rFonts w:eastAsia="Arial Unicode MS"/>
              </w:rPr>
              <w:t>.</w:t>
            </w:r>
            <w:r w:rsidRPr="00FD5C2D">
              <w:rPr>
                <w:rFonts w:eastAsia="Arial Unicode MS"/>
              </w:rPr>
              <w:t>8</w:t>
            </w:r>
            <w:r>
              <w:rPr>
                <w:rFonts w:eastAsia="Arial Unicode MS"/>
              </w:rPr>
              <w:t>%</w:t>
            </w:r>
          </w:p>
        </w:tc>
        <w:tc>
          <w:tcPr>
            <w:tcW w:w="403" w:type="pct"/>
            <w:tcBorders>
              <w:top w:val="single" w:sz="4" w:space="0" w:color="auto"/>
              <w:left w:val="nil"/>
              <w:bottom w:val="single" w:sz="4" w:space="0" w:color="auto"/>
              <w:right w:val="single" w:sz="4" w:space="0" w:color="A6A6A6"/>
            </w:tcBorders>
            <w:shd w:val="clear" w:color="auto" w:fill="auto"/>
          </w:tcPr>
          <w:p w:rsidR="003C579E" w:rsidRPr="00FD5C2D" w:rsidRDefault="003C579E" w:rsidP="00EA16D7">
            <w:pPr>
              <w:pStyle w:val="TableText"/>
              <w:jc w:val="center"/>
              <w:rPr>
                <w:rFonts w:eastAsia="Arial Unicode MS"/>
              </w:rPr>
            </w:pPr>
            <w:r w:rsidRPr="00FD5C2D">
              <w:rPr>
                <w:rFonts w:eastAsia="Arial Unicode MS"/>
              </w:rPr>
              <w:t>22</w:t>
            </w:r>
            <w:r>
              <w:rPr>
                <w:rFonts w:eastAsia="Arial Unicode MS"/>
              </w:rPr>
              <w:t>.</w:t>
            </w:r>
            <w:r w:rsidRPr="00FD5C2D">
              <w:rPr>
                <w:rFonts w:eastAsia="Arial Unicode MS"/>
              </w:rPr>
              <w:t>4</w:t>
            </w:r>
            <w:r>
              <w:rPr>
                <w:rFonts w:eastAsia="Arial Unicode MS"/>
              </w:rPr>
              <w:t>%</w:t>
            </w:r>
          </w:p>
        </w:tc>
        <w:tc>
          <w:tcPr>
            <w:tcW w:w="482" w:type="pct"/>
            <w:tcBorders>
              <w:top w:val="single" w:sz="4" w:space="0" w:color="auto"/>
              <w:left w:val="single" w:sz="4" w:space="0" w:color="A6A6A6"/>
              <w:bottom w:val="single" w:sz="4" w:space="0" w:color="auto"/>
              <w:right w:val="nil"/>
            </w:tcBorders>
            <w:shd w:val="clear" w:color="auto" w:fill="auto"/>
            <w:noWrap/>
            <w:tcMar>
              <w:top w:w="0" w:type="dxa"/>
              <w:left w:w="108" w:type="dxa"/>
              <w:bottom w:w="0" w:type="dxa"/>
              <w:right w:w="108" w:type="dxa"/>
            </w:tcMar>
          </w:tcPr>
          <w:p w:rsidR="003C579E" w:rsidRPr="00FD5C2D" w:rsidRDefault="003C579E" w:rsidP="00EA16D7">
            <w:pPr>
              <w:pStyle w:val="TableText"/>
              <w:jc w:val="center"/>
              <w:rPr>
                <w:rFonts w:eastAsia="Arial Unicode MS"/>
              </w:rPr>
            </w:pPr>
            <w:r w:rsidRPr="00FD5C2D">
              <w:rPr>
                <w:rFonts w:eastAsia="Arial Unicode MS"/>
              </w:rPr>
              <w:t>15</w:t>
            </w:r>
            <w:r>
              <w:rPr>
                <w:rFonts w:eastAsia="Arial Unicode MS"/>
              </w:rPr>
              <w:t>.</w:t>
            </w:r>
            <w:r w:rsidRPr="00FD5C2D">
              <w:rPr>
                <w:rFonts w:eastAsia="Arial Unicode MS"/>
              </w:rPr>
              <w:t>7</w:t>
            </w:r>
            <w:r>
              <w:rPr>
                <w:rFonts w:eastAsia="Arial Unicode MS"/>
              </w:rPr>
              <w:t>%</w:t>
            </w:r>
          </w:p>
        </w:tc>
        <w:tc>
          <w:tcPr>
            <w:tcW w:w="566" w:type="pct"/>
            <w:tcBorders>
              <w:top w:val="single" w:sz="4" w:space="0" w:color="auto"/>
              <w:left w:val="nil"/>
              <w:bottom w:val="single" w:sz="4" w:space="0" w:color="auto"/>
              <w:right w:val="single" w:sz="4" w:space="0" w:color="A6A6A6"/>
            </w:tcBorders>
            <w:shd w:val="clear" w:color="auto" w:fill="auto"/>
          </w:tcPr>
          <w:p w:rsidR="003C579E" w:rsidRPr="00FD5C2D" w:rsidRDefault="003C579E" w:rsidP="00EA16D7">
            <w:pPr>
              <w:pStyle w:val="TableText"/>
              <w:jc w:val="center"/>
              <w:rPr>
                <w:rFonts w:eastAsia="Arial Unicode MS"/>
              </w:rPr>
            </w:pPr>
            <w:r w:rsidRPr="00FD5C2D">
              <w:rPr>
                <w:rFonts w:eastAsia="Arial Unicode MS"/>
              </w:rPr>
              <w:t>11</w:t>
            </w:r>
            <w:r>
              <w:rPr>
                <w:rFonts w:eastAsia="Arial Unicode MS"/>
              </w:rPr>
              <w:t>.</w:t>
            </w:r>
            <w:r w:rsidRPr="00FD5C2D">
              <w:rPr>
                <w:rFonts w:eastAsia="Arial Unicode MS"/>
              </w:rPr>
              <w:t>3</w:t>
            </w:r>
            <w:r>
              <w:rPr>
                <w:rFonts w:eastAsia="Arial Unicode MS"/>
              </w:rPr>
              <w:t>%</w:t>
            </w:r>
          </w:p>
        </w:tc>
        <w:tc>
          <w:tcPr>
            <w:tcW w:w="510" w:type="pct"/>
            <w:tcBorders>
              <w:top w:val="single" w:sz="4" w:space="0" w:color="auto"/>
              <w:left w:val="single" w:sz="4" w:space="0" w:color="A6A6A6"/>
              <w:bottom w:val="single" w:sz="4" w:space="0" w:color="auto"/>
              <w:right w:val="nil"/>
            </w:tcBorders>
            <w:shd w:val="clear" w:color="auto" w:fill="auto"/>
          </w:tcPr>
          <w:p w:rsidR="003C579E" w:rsidRPr="00FD5C2D" w:rsidRDefault="003C579E" w:rsidP="00EA16D7">
            <w:pPr>
              <w:pStyle w:val="TableText"/>
              <w:jc w:val="center"/>
              <w:rPr>
                <w:rFonts w:eastAsia="Arial Unicode MS"/>
              </w:rPr>
            </w:pPr>
            <w:r w:rsidRPr="00FD5C2D">
              <w:rPr>
                <w:rFonts w:eastAsia="Arial Unicode MS"/>
              </w:rPr>
              <w:t>18</w:t>
            </w:r>
            <w:r>
              <w:rPr>
                <w:rFonts w:eastAsia="Arial Unicode MS"/>
              </w:rPr>
              <w:t>.</w:t>
            </w:r>
            <w:r w:rsidRPr="00FD5C2D">
              <w:rPr>
                <w:rFonts w:eastAsia="Arial Unicode MS"/>
              </w:rPr>
              <w:t>9</w:t>
            </w:r>
            <w:r>
              <w:rPr>
                <w:rFonts w:eastAsia="Arial Unicode MS"/>
              </w:rPr>
              <w:t>%</w:t>
            </w:r>
          </w:p>
        </w:tc>
        <w:tc>
          <w:tcPr>
            <w:tcW w:w="457" w:type="pct"/>
            <w:tcBorders>
              <w:top w:val="single" w:sz="4" w:space="0" w:color="auto"/>
              <w:left w:val="nil"/>
              <w:bottom w:val="single" w:sz="4" w:space="0" w:color="auto"/>
            </w:tcBorders>
            <w:shd w:val="clear" w:color="auto" w:fill="auto"/>
          </w:tcPr>
          <w:p w:rsidR="003C579E" w:rsidRPr="00FD5C2D" w:rsidRDefault="003C579E" w:rsidP="00EA16D7">
            <w:pPr>
              <w:pStyle w:val="TableText"/>
              <w:jc w:val="center"/>
              <w:rPr>
                <w:rFonts w:eastAsia="Arial Unicode MS"/>
              </w:rPr>
            </w:pPr>
            <w:r w:rsidRPr="00FD5C2D">
              <w:rPr>
                <w:rFonts w:eastAsia="Arial Unicode MS"/>
              </w:rPr>
              <w:t>9</w:t>
            </w:r>
            <w:r>
              <w:rPr>
                <w:rFonts w:eastAsia="Arial Unicode MS"/>
              </w:rPr>
              <w:t>.</w:t>
            </w:r>
            <w:r w:rsidRPr="00FD5C2D">
              <w:rPr>
                <w:rFonts w:eastAsia="Arial Unicode MS"/>
              </w:rPr>
              <w:t>6</w:t>
            </w:r>
            <w:r>
              <w:rPr>
                <w:rFonts w:eastAsia="Arial Unicode MS"/>
              </w:rPr>
              <w:t>%</w:t>
            </w:r>
          </w:p>
        </w:tc>
      </w:tr>
    </w:tbl>
    <w:p w:rsidR="003C579E" w:rsidRPr="00964840" w:rsidRDefault="003C579E" w:rsidP="003C579E">
      <w:pPr>
        <w:spacing w:after="120"/>
        <w:ind w:left="567"/>
        <w:rPr>
          <w:sz w:val="22"/>
          <w:szCs w:val="22"/>
        </w:rPr>
      </w:pPr>
    </w:p>
    <w:p w:rsidR="00CD6E30" w:rsidRDefault="00CD6E30" w:rsidP="00CD6E30">
      <w:pPr>
        <w:numPr>
          <w:ilvl w:val="0"/>
          <w:numId w:val="41"/>
        </w:numPr>
        <w:ind w:left="567" w:hanging="567"/>
        <w:rPr>
          <w:rFonts w:cs="Arial"/>
          <w:sz w:val="22"/>
          <w:szCs w:val="22"/>
        </w:rPr>
      </w:pPr>
      <w:r>
        <w:rPr>
          <w:rFonts w:cs="Arial"/>
          <w:sz w:val="22"/>
          <w:szCs w:val="22"/>
        </w:rPr>
        <w:t xml:space="preserve">Table </w:t>
      </w:r>
      <w:r w:rsidR="00D03F0D">
        <w:rPr>
          <w:rFonts w:cs="Arial"/>
          <w:sz w:val="22"/>
          <w:szCs w:val="22"/>
        </w:rPr>
        <w:t xml:space="preserve">2 </w:t>
      </w:r>
      <w:r w:rsidRPr="00BA0E42">
        <w:rPr>
          <w:rFonts w:cs="Arial"/>
          <w:sz w:val="22"/>
          <w:szCs w:val="22"/>
        </w:rPr>
        <w:t xml:space="preserve">shows that a high weighting on expenditure means that the New Zealand Lotteries Commission, and to some extent the New Zealand Racing Board, will pay a higher share of the </w:t>
      </w:r>
      <w:r w:rsidR="00865DBF">
        <w:rPr>
          <w:rFonts w:cs="Arial"/>
          <w:sz w:val="22"/>
          <w:szCs w:val="22"/>
        </w:rPr>
        <w:t>budget</w:t>
      </w:r>
      <w:r w:rsidRPr="00BA0E42">
        <w:rPr>
          <w:rFonts w:cs="Arial"/>
          <w:sz w:val="22"/>
          <w:szCs w:val="22"/>
        </w:rPr>
        <w:t xml:space="preserve"> (because their </w:t>
      </w:r>
      <w:r w:rsidR="00F10638">
        <w:rPr>
          <w:rFonts w:cs="Arial"/>
          <w:sz w:val="22"/>
          <w:szCs w:val="22"/>
        </w:rPr>
        <w:t>percentages</w:t>
      </w:r>
      <w:r w:rsidRPr="00BA0E42">
        <w:rPr>
          <w:rFonts w:cs="Arial"/>
          <w:sz w:val="22"/>
          <w:szCs w:val="22"/>
        </w:rPr>
        <w:t xml:space="preserve"> of expenditure are higher than their </w:t>
      </w:r>
      <w:r w:rsidR="00F10638">
        <w:rPr>
          <w:rFonts w:cs="Arial"/>
          <w:sz w:val="22"/>
          <w:szCs w:val="22"/>
        </w:rPr>
        <w:t>percentages</w:t>
      </w:r>
      <w:r w:rsidRPr="00BA0E42">
        <w:rPr>
          <w:rFonts w:cs="Arial"/>
          <w:sz w:val="22"/>
          <w:szCs w:val="22"/>
        </w:rPr>
        <w:t xml:space="preserve"> of presentations).  By contrast, a high weighting on presentations means that NCGMs will pay a higher share (because </w:t>
      </w:r>
      <w:r w:rsidR="007E66C9">
        <w:rPr>
          <w:rFonts w:cs="Arial"/>
          <w:sz w:val="22"/>
          <w:szCs w:val="22"/>
        </w:rPr>
        <w:t>in 2014/15 around 57% of presentations we</w:t>
      </w:r>
      <w:r w:rsidRPr="00BA0E42">
        <w:rPr>
          <w:rFonts w:cs="Arial"/>
          <w:sz w:val="22"/>
          <w:szCs w:val="22"/>
        </w:rPr>
        <w:t>re attributed to NC</w:t>
      </w:r>
      <w:r w:rsidR="007E66C9">
        <w:rPr>
          <w:rFonts w:cs="Arial"/>
          <w:sz w:val="22"/>
          <w:szCs w:val="22"/>
        </w:rPr>
        <w:t xml:space="preserve">GMs, but </w:t>
      </w:r>
      <w:r w:rsidR="00876509">
        <w:rPr>
          <w:rFonts w:cs="Arial"/>
          <w:sz w:val="22"/>
          <w:szCs w:val="22"/>
        </w:rPr>
        <w:t>NCGM spending was</w:t>
      </w:r>
      <w:r w:rsidRPr="00BA0E42">
        <w:rPr>
          <w:rFonts w:cs="Arial"/>
          <w:sz w:val="22"/>
          <w:szCs w:val="22"/>
        </w:rPr>
        <w:t xml:space="preserve"> </w:t>
      </w:r>
      <w:r w:rsidR="005B3C1E">
        <w:rPr>
          <w:rFonts w:cs="Arial"/>
          <w:sz w:val="22"/>
          <w:szCs w:val="22"/>
        </w:rPr>
        <w:t xml:space="preserve">only </w:t>
      </w:r>
      <w:r w:rsidRPr="00BA0E42">
        <w:rPr>
          <w:rFonts w:cs="Arial"/>
          <w:sz w:val="22"/>
          <w:szCs w:val="22"/>
        </w:rPr>
        <w:t xml:space="preserve">40% of expenditure in the levy-paying sectors).  The weighting chosen makes a limited difference to the casino share (because that sector’s </w:t>
      </w:r>
      <w:r w:rsidR="00F10638">
        <w:rPr>
          <w:rFonts w:cs="Arial"/>
          <w:sz w:val="22"/>
          <w:szCs w:val="22"/>
        </w:rPr>
        <w:t>percentage</w:t>
      </w:r>
      <w:r w:rsidRPr="00BA0E42">
        <w:rPr>
          <w:rFonts w:cs="Arial"/>
          <w:sz w:val="22"/>
          <w:szCs w:val="22"/>
        </w:rPr>
        <w:t xml:space="preserve"> of expenditure is close to its </w:t>
      </w:r>
      <w:r w:rsidR="00F10638">
        <w:rPr>
          <w:rFonts w:cs="Arial"/>
          <w:sz w:val="22"/>
          <w:szCs w:val="22"/>
        </w:rPr>
        <w:t>percentage</w:t>
      </w:r>
      <w:r w:rsidRPr="00BA0E42">
        <w:rPr>
          <w:rFonts w:cs="Arial"/>
          <w:sz w:val="22"/>
          <w:szCs w:val="22"/>
        </w:rPr>
        <w:t xml:space="preserve"> of presentations).  </w:t>
      </w:r>
    </w:p>
    <w:p w:rsidR="00385192" w:rsidRPr="00CD6E30" w:rsidRDefault="00385192" w:rsidP="00385192">
      <w:pPr>
        <w:rPr>
          <w:rFonts w:cs="Arial"/>
          <w:sz w:val="22"/>
          <w:szCs w:val="22"/>
        </w:rPr>
      </w:pPr>
    </w:p>
    <w:p w:rsidR="00BE5331" w:rsidRDefault="00BE5331" w:rsidP="00C56C87">
      <w:pPr>
        <w:numPr>
          <w:ilvl w:val="0"/>
          <w:numId w:val="41"/>
        </w:numPr>
        <w:ind w:left="567" w:hanging="567"/>
        <w:rPr>
          <w:sz w:val="22"/>
          <w:szCs w:val="22"/>
        </w:rPr>
      </w:pPr>
      <w:r>
        <w:rPr>
          <w:sz w:val="22"/>
          <w:szCs w:val="22"/>
        </w:rPr>
        <w:t xml:space="preserve">Table 2 also shows </w:t>
      </w:r>
      <w:r w:rsidR="00876509">
        <w:rPr>
          <w:sz w:val="22"/>
          <w:szCs w:val="22"/>
        </w:rPr>
        <w:t xml:space="preserve">that in three years from 2011/12 to 2014/15, </w:t>
      </w:r>
      <w:r w:rsidR="00865DBF">
        <w:rPr>
          <w:sz w:val="22"/>
          <w:szCs w:val="22"/>
        </w:rPr>
        <w:t>there</w:t>
      </w:r>
      <w:r w:rsidR="00DD3815">
        <w:rPr>
          <w:sz w:val="22"/>
          <w:szCs w:val="22"/>
        </w:rPr>
        <w:t xml:space="preserve"> were limited changes in sector</w:t>
      </w:r>
      <w:r w:rsidR="00865DBF">
        <w:rPr>
          <w:sz w:val="22"/>
          <w:szCs w:val="22"/>
        </w:rPr>
        <w:t>s</w:t>
      </w:r>
      <w:r w:rsidR="00DD3815">
        <w:rPr>
          <w:sz w:val="22"/>
          <w:szCs w:val="22"/>
        </w:rPr>
        <w:t>’</w:t>
      </w:r>
      <w:r w:rsidR="00865DBF">
        <w:rPr>
          <w:sz w:val="22"/>
          <w:szCs w:val="22"/>
        </w:rPr>
        <w:t xml:space="preserve"> </w:t>
      </w:r>
      <w:r w:rsidR="00F10638">
        <w:rPr>
          <w:sz w:val="22"/>
          <w:szCs w:val="22"/>
        </w:rPr>
        <w:t>percentages</w:t>
      </w:r>
      <w:r w:rsidR="00865DBF">
        <w:rPr>
          <w:sz w:val="22"/>
          <w:szCs w:val="22"/>
        </w:rPr>
        <w:t xml:space="preserve"> of expenditure but more substantial changes in their </w:t>
      </w:r>
      <w:r w:rsidR="00F10638">
        <w:rPr>
          <w:sz w:val="22"/>
          <w:szCs w:val="22"/>
        </w:rPr>
        <w:t>percentages</w:t>
      </w:r>
      <w:r w:rsidR="00865DBF">
        <w:rPr>
          <w:sz w:val="22"/>
          <w:szCs w:val="22"/>
        </w:rPr>
        <w:t xml:space="preserve"> of presentations.  T</w:t>
      </w:r>
      <w:r w:rsidR="00876509">
        <w:rPr>
          <w:sz w:val="22"/>
          <w:szCs w:val="22"/>
        </w:rPr>
        <w:t xml:space="preserve">he </w:t>
      </w:r>
      <w:r w:rsidR="00F10638">
        <w:rPr>
          <w:sz w:val="22"/>
          <w:szCs w:val="22"/>
        </w:rPr>
        <w:t>percentage</w:t>
      </w:r>
      <w:r w:rsidR="00876509">
        <w:rPr>
          <w:sz w:val="22"/>
          <w:szCs w:val="22"/>
        </w:rPr>
        <w:t xml:space="preserve"> of presentations attributed to NCGMs reduced by more than seven percentage points, representing an 11.5% reduction.  </w:t>
      </w:r>
      <w:r w:rsidR="00DD10DD">
        <w:rPr>
          <w:sz w:val="22"/>
          <w:szCs w:val="22"/>
        </w:rPr>
        <w:t>By contrast</w:t>
      </w:r>
      <w:r w:rsidR="00876509">
        <w:rPr>
          <w:sz w:val="22"/>
          <w:szCs w:val="22"/>
        </w:rPr>
        <w:t xml:space="preserve">, the presentations attributed to casinos increased by </w:t>
      </w:r>
      <w:r w:rsidR="00865DBF">
        <w:rPr>
          <w:sz w:val="22"/>
          <w:szCs w:val="22"/>
        </w:rPr>
        <w:t>9.3%</w:t>
      </w:r>
      <w:r w:rsidR="00876509">
        <w:rPr>
          <w:sz w:val="22"/>
          <w:szCs w:val="22"/>
        </w:rPr>
        <w:t>, New Zealand Racing Board presentations increased by 18.9%, and New Zealand Lotteries Commission presentations increased by 62.7%</w:t>
      </w:r>
      <w:r w:rsidR="00050029">
        <w:rPr>
          <w:sz w:val="22"/>
          <w:szCs w:val="22"/>
        </w:rPr>
        <w:t xml:space="preserve">.  </w:t>
      </w:r>
    </w:p>
    <w:p w:rsidR="00BE5331" w:rsidRPr="00876509" w:rsidRDefault="00BE5331" w:rsidP="00876509">
      <w:pPr>
        <w:rPr>
          <w:rFonts w:cs="Arial"/>
          <w:sz w:val="22"/>
          <w:szCs w:val="22"/>
        </w:rPr>
      </w:pPr>
    </w:p>
    <w:p w:rsidR="00CF41A3" w:rsidRDefault="00CF41A3" w:rsidP="00CF41A3">
      <w:pPr>
        <w:numPr>
          <w:ilvl w:val="0"/>
          <w:numId w:val="41"/>
        </w:numPr>
        <w:ind w:left="567" w:hanging="567"/>
        <w:rPr>
          <w:sz w:val="22"/>
          <w:szCs w:val="22"/>
        </w:rPr>
      </w:pPr>
      <w:r w:rsidRPr="00865DBF">
        <w:rPr>
          <w:sz w:val="22"/>
          <w:szCs w:val="22"/>
        </w:rPr>
        <w:lastRenderedPageBreak/>
        <w:t xml:space="preserve">The four </w:t>
      </w:r>
      <w:r>
        <w:rPr>
          <w:sz w:val="22"/>
          <w:szCs w:val="22"/>
        </w:rPr>
        <w:t xml:space="preserve">weighting </w:t>
      </w:r>
      <w:r w:rsidRPr="00865DBF">
        <w:rPr>
          <w:sz w:val="22"/>
          <w:szCs w:val="22"/>
        </w:rPr>
        <w:t xml:space="preserve">options </w:t>
      </w:r>
      <w:r>
        <w:rPr>
          <w:sz w:val="22"/>
          <w:szCs w:val="22"/>
        </w:rPr>
        <w:t>for 2016/17 to 2018/19</w:t>
      </w:r>
      <w:r w:rsidRPr="00865DBF">
        <w:rPr>
          <w:sz w:val="22"/>
          <w:szCs w:val="22"/>
        </w:rPr>
        <w:t xml:space="preserve"> discussed in the Ministry’s consultation document were a 5% weighting on expenditure and a 95% weighting on presentations (referred to as a 5/95 weighting); 10/90; 20/80; and 30/70</w:t>
      </w:r>
      <w:r>
        <w:rPr>
          <w:sz w:val="22"/>
          <w:szCs w:val="22"/>
        </w:rPr>
        <w:t xml:space="preserve">.  The Ministry invited submissions on whether there were any realistic pairs of weightings other than the four discussed, and asked which pair, if any, submitters supported.  </w:t>
      </w:r>
    </w:p>
    <w:p w:rsidR="00CF41A3" w:rsidRDefault="00CF41A3" w:rsidP="00CF41A3">
      <w:pPr>
        <w:rPr>
          <w:sz w:val="22"/>
          <w:szCs w:val="22"/>
        </w:rPr>
      </w:pPr>
    </w:p>
    <w:p w:rsidR="00D03F0D" w:rsidRDefault="00D03F0D" w:rsidP="0066703F">
      <w:pPr>
        <w:keepLines/>
        <w:numPr>
          <w:ilvl w:val="0"/>
          <w:numId w:val="41"/>
        </w:numPr>
        <w:ind w:left="567" w:hanging="567"/>
        <w:rPr>
          <w:sz w:val="22"/>
          <w:szCs w:val="22"/>
        </w:rPr>
      </w:pPr>
      <w:r>
        <w:rPr>
          <w:sz w:val="22"/>
          <w:szCs w:val="22"/>
        </w:rPr>
        <w:t xml:space="preserve">Table 3 shows </w:t>
      </w:r>
      <w:r w:rsidR="0040534C">
        <w:rPr>
          <w:sz w:val="22"/>
          <w:szCs w:val="22"/>
        </w:rPr>
        <w:t>the share of the budget that each levy-paying sector would be required to pay</w:t>
      </w:r>
      <w:r w:rsidR="00E862B2">
        <w:rPr>
          <w:sz w:val="22"/>
          <w:szCs w:val="22"/>
        </w:rPr>
        <w:t>,</w:t>
      </w:r>
      <w:r w:rsidR="0040534C">
        <w:rPr>
          <w:sz w:val="22"/>
          <w:szCs w:val="22"/>
        </w:rPr>
        <w:t xml:space="preserve"> and the levy rate for each sector</w:t>
      </w:r>
      <w:r w:rsidR="00E862B2">
        <w:rPr>
          <w:sz w:val="22"/>
          <w:szCs w:val="22"/>
        </w:rPr>
        <w:t>,</w:t>
      </w:r>
      <w:r w:rsidR="0040534C">
        <w:rPr>
          <w:sz w:val="22"/>
          <w:szCs w:val="22"/>
        </w:rPr>
        <w:t xml:space="preserve"> in 2016/17 to 2018/19 under each of the four alternative weightings.  It also shows the amount that each sector would be expected to pay </w:t>
      </w:r>
      <w:r w:rsidR="006500D3">
        <w:rPr>
          <w:sz w:val="22"/>
          <w:szCs w:val="22"/>
        </w:rPr>
        <w:t xml:space="preserve">in levy </w:t>
      </w:r>
      <w:r w:rsidR="0040534C">
        <w:rPr>
          <w:sz w:val="22"/>
          <w:szCs w:val="22"/>
        </w:rPr>
        <w:t>over the three-year period at the levy rate im</w:t>
      </w:r>
      <w:r w:rsidR="00F06A8B">
        <w:rPr>
          <w:sz w:val="22"/>
          <w:szCs w:val="22"/>
        </w:rPr>
        <w:t>plied by each of the weightings</w:t>
      </w:r>
      <w:r w:rsidR="0040534C">
        <w:rPr>
          <w:sz w:val="22"/>
          <w:szCs w:val="22"/>
        </w:rPr>
        <w:t xml:space="preserve"> </w:t>
      </w:r>
      <w:r w:rsidR="00F06A8B">
        <w:rPr>
          <w:sz w:val="22"/>
          <w:szCs w:val="22"/>
        </w:rPr>
        <w:t>(</w:t>
      </w:r>
      <w:r w:rsidR="0040534C">
        <w:rPr>
          <w:sz w:val="22"/>
          <w:szCs w:val="22"/>
        </w:rPr>
        <w:t xml:space="preserve">assuming that the Ministry’s appropriation is $55.339 million and </w:t>
      </w:r>
      <w:r w:rsidR="00E862B2">
        <w:rPr>
          <w:sz w:val="22"/>
          <w:szCs w:val="22"/>
        </w:rPr>
        <w:t>the total levy requirement is $56.202 million</w:t>
      </w:r>
      <w:r w:rsidR="00F06A8B">
        <w:rPr>
          <w:sz w:val="22"/>
          <w:szCs w:val="22"/>
        </w:rPr>
        <w:t>,</w:t>
      </w:r>
      <w:r w:rsidR="00E862B2">
        <w:rPr>
          <w:sz w:val="22"/>
          <w:szCs w:val="22"/>
        </w:rPr>
        <w:t xml:space="preserve"> and </w:t>
      </w:r>
      <w:r w:rsidR="0040534C">
        <w:rPr>
          <w:sz w:val="22"/>
          <w:szCs w:val="22"/>
        </w:rPr>
        <w:t xml:space="preserve">assuming that expenditure in each sector exactly matches the </w:t>
      </w:r>
      <w:r w:rsidR="006500D3">
        <w:rPr>
          <w:sz w:val="22"/>
          <w:szCs w:val="22"/>
        </w:rPr>
        <w:t>total amount forecast</w:t>
      </w:r>
      <w:r w:rsidR="0040534C">
        <w:rPr>
          <w:sz w:val="22"/>
          <w:szCs w:val="22"/>
        </w:rPr>
        <w:t xml:space="preserve"> </w:t>
      </w:r>
      <w:r w:rsidR="006500D3">
        <w:rPr>
          <w:sz w:val="22"/>
          <w:szCs w:val="22"/>
        </w:rPr>
        <w:t>for the three-year period</w:t>
      </w:r>
      <w:r w:rsidR="00F06A8B">
        <w:rPr>
          <w:sz w:val="22"/>
          <w:szCs w:val="22"/>
        </w:rPr>
        <w:t>)</w:t>
      </w:r>
      <w:r w:rsidR="0040534C">
        <w:rPr>
          <w:sz w:val="22"/>
          <w:szCs w:val="22"/>
        </w:rPr>
        <w:t xml:space="preserve">.  </w:t>
      </w:r>
      <w:r w:rsidR="006500D3">
        <w:rPr>
          <w:sz w:val="22"/>
          <w:szCs w:val="22"/>
        </w:rPr>
        <w:t xml:space="preserve">Finally, </w:t>
      </w:r>
      <w:r w:rsidR="00246E41">
        <w:rPr>
          <w:sz w:val="22"/>
          <w:szCs w:val="22"/>
        </w:rPr>
        <w:t xml:space="preserve">for the purposes of comparison, </w:t>
      </w:r>
      <w:r w:rsidR="006500D3">
        <w:rPr>
          <w:sz w:val="22"/>
          <w:szCs w:val="22"/>
        </w:rPr>
        <w:t xml:space="preserve">the table shows the share of the budget that each sector was required to pay, the levy rate for each sector and the </w:t>
      </w:r>
      <w:r w:rsidR="00246E41">
        <w:rPr>
          <w:sz w:val="22"/>
          <w:szCs w:val="22"/>
        </w:rPr>
        <w:t>amount that each sector was expected to pay in levy at the 10/90 weighting in the current period (2013/14 to 2015/16).</w:t>
      </w:r>
    </w:p>
    <w:p w:rsidR="00D03F0D" w:rsidRDefault="00D03F0D" w:rsidP="00E52D79">
      <w:pPr>
        <w:rPr>
          <w:sz w:val="22"/>
          <w:szCs w:val="22"/>
        </w:rPr>
      </w:pPr>
    </w:p>
    <w:p w:rsidR="006500D3" w:rsidRPr="00614B90" w:rsidRDefault="006500D3" w:rsidP="00246E41">
      <w:pPr>
        <w:pStyle w:val="Table"/>
        <w:ind w:left="567" w:firstLine="0"/>
        <w:rPr>
          <w:sz w:val="20"/>
        </w:rPr>
      </w:pPr>
      <w:bookmarkStart w:id="41" w:name="_Toc443057203"/>
      <w:r w:rsidRPr="00614B90">
        <w:rPr>
          <w:sz w:val="20"/>
        </w:rPr>
        <w:t xml:space="preserve">Table </w:t>
      </w:r>
      <w:r>
        <w:rPr>
          <w:sz w:val="20"/>
        </w:rPr>
        <w:t>3</w:t>
      </w:r>
      <w:r w:rsidRPr="00614B90">
        <w:rPr>
          <w:sz w:val="20"/>
        </w:rPr>
        <w:t xml:space="preserve">: </w:t>
      </w:r>
      <w:r w:rsidR="008F7B51">
        <w:rPr>
          <w:sz w:val="20"/>
        </w:rPr>
        <w:t xml:space="preserve">Share of </w:t>
      </w:r>
      <w:r w:rsidR="00DD10DD">
        <w:rPr>
          <w:sz w:val="20"/>
        </w:rPr>
        <w:t>budget, levy rate</w:t>
      </w:r>
      <w:r w:rsidR="008F7B51">
        <w:rPr>
          <w:sz w:val="20"/>
        </w:rPr>
        <w:t xml:space="preserve"> </w:t>
      </w:r>
      <w:r>
        <w:rPr>
          <w:sz w:val="20"/>
        </w:rPr>
        <w:t xml:space="preserve">and expected levy amount by </w:t>
      </w:r>
      <w:r w:rsidRPr="00614B90">
        <w:rPr>
          <w:sz w:val="20"/>
        </w:rPr>
        <w:t>sector</w:t>
      </w:r>
      <w:r>
        <w:rPr>
          <w:sz w:val="20"/>
        </w:rPr>
        <w:t xml:space="preserve"> by weighting, 2016/17 to 2018/19; and at 10/90 in the current period (2013/14 to 2015/16)</w:t>
      </w:r>
      <w:bookmarkEnd w:id="41"/>
    </w:p>
    <w:tbl>
      <w:tblPr>
        <w:tblW w:w="4606" w:type="pct"/>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
        <w:gridCol w:w="2018"/>
        <w:gridCol w:w="1526"/>
        <w:gridCol w:w="1417"/>
        <w:gridCol w:w="1560"/>
        <w:gridCol w:w="1559"/>
      </w:tblGrid>
      <w:tr w:rsidR="006500D3" w:rsidRPr="00614B90" w:rsidTr="00B94D7D">
        <w:trPr>
          <w:cantSplit/>
        </w:trPr>
        <w:tc>
          <w:tcPr>
            <w:tcW w:w="2755" w:type="dxa"/>
            <w:gridSpan w:val="2"/>
            <w:vMerge w:val="restart"/>
            <w:shd w:val="clear" w:color="auto" w:fill="auto"/>
            <w:noWrap/>
            <w:tcMar>
              <w:top w:w="0" w:type="dxa"/>
              <w:left w:w="108" w:type="dxa"/>
              <w:bottom w:w="0" w:type="dxa"/>
              <w:right w:w="108" w:type="dxa"/>
            </w:tcMar>
            <w:vAlign w:val="bottom"/>
          </w:tcPr>
          <w:p w:rsidR="006500D3" w:rsidRPr="00BF5CAB" w:rsidRDefault="006500D3" w:rsidP="00EC4586">
            <w:pPr>
              <w:pStyle w:val="TableText"/>
              <w:spacing w:before="60" w:after="60"/>
              <w:rPr>
                <w:rFonts w:eastAsia="Arial Unicode MS"/>
                <w:b/>
              </w:rPr>
            </w:pPr>
            <w:r>
              <w:rPr>
                <w:rFonts w:eastAsia="Arial Unicode MS"/>
                <w:b/>
              </w:rPr>
              <w:t>Weighting</w:t>
            </w:r>
          </w:p>
        </w:tc>
        <w:tc>
          <w:tcPr>
            <w:tcW w:w="6062" w:type="dxa"/>
            <w:gridSpan w:val="4"/>
            <w:shd w:val="clear" w:color="auto" w:fill="auto"/>
            <w:noWrap/>
            <w:tcMar>
              <w:top w:w="0" w:type="dxa"/>
              <w:left w:w="108" w:type="dxa"/>
              <w:bottom w:w="0" w:type="dxa"/>
              <w:right w:w="108" w:type="dxa"/>
            </w:tcMar>
          </w:tcPr>
          <w:p w:rsidR="006500D3" w:rsidRPr="00BF5CAB" w:rsidRDefault="008F7B51" w:rsidP="00DD10DD">
            <w:pPr>
              <w:pStyle w:val="TableText"/>
              <w:spacing w:before="60" w:after="60"/>
              <w:jc w:val="center"/>
              <w:rPr>
                <w:b/>
              </w:rPr>
            </w:pPr>
            <w:r>
              <w:rPr>
                <w:rFonts w:eastAsia="Arial Unicode MS"/>
                <w:b/>
              </w:rPr>
              <w:t>2016/17 to 2018/19 s</w:t>
            </w:r>
            <w:r w:rsidR="006500D3">
              <w:rPr>
                <w:rFonts w:eastAsia="Arial Unicode MS"/>
                <w:b/>
              </w:rPr>
              <w:t>hare of budget</w:t>
            </w:r>
            <w:r w:rsidR="003B20EE">
              <w:rPr>
                <w:rFonts w:eastAsia="Arial Unicode MS"/>
                <w:b/>
              </w:rPr>
              <w:t>,</w:t>
            </w:r>
            <w:r w:rsidR="006500D3">
              <w:rPr>
                <w:rFonts w:eastAsia="Arial Unicode MS"/>
                <w:b/>
              </w:rPr>
              <w:t xml:space="preserve"> </w:t>
            </w:r>
            <w:r w:rsidR="003B20EE">
              <w:rPr>
                <w:rFonts w:eastAsia="Arial Unicode MS"/>
                <w:b/>
              </w:rPr>
              <w:t xml:space="preserve">levy rate </w:t>
            </w:r>
            <w:r w:rsidR="00246E41">
              <w:rPr>
                <w:rFonts w:eastAsia="Arial Unicode MS"/>
                <w:b/>
              </w:rPr>
              <w:t>and expected levy amount</w:t>
            </w:r>
            <w:r w:rsidR="00FE42D1">
              <w:rPr>
                <w:rFonts w:eastAsia="Arial Unicode MS"/>
                <w:b/>
              </w:rPr>
              <w:t>, under</w:t>
            </w:r>
            <w:r w:rsidR="006500D3">
              <w:rPr>
                <w:rFonts w:eastAsia="Arial Unicode MS"/>
                <w:b/>
              </w:rPr>
              <w:t xml:space="preserve"> four </w:t>
            </w:r>
            <w:r w:rsidR="00FE42D1">
              <w:rPr>
                <w:rFonts w:eastAsia="Arial Unicode MS"/>
                <w:b/>
              </w:rPr>
              <w:t xml:space="preserve">alternative </w:t>
            </w:r>
            <w:r w:rsidR="006500D3">
              <w:rPr>
                <w:rFonts w:eastAsia="Arial Unicode MS"/>
                <w:b/>
              </w:rPr>
              <w:t>weightings</w:t>
            </w:r>
          </w:p>
        </w:tc>
      </w:tr>
      <w:tr w:rsidR="006500D3" w:rsidRPr="00614B90" w:rsidTr="00FC5B81">
        <w:trPr>
          <w:cantSplit/>
        </w:trPr>
        <w:tc>
          <w:tcPr>
            <w:tcW w:w="2755" w:type="dxa"/>
            <w:gridSpan w:val="2"/>
            <w:vMerge/>
            <w:tcBorders>
              <w:bottom w:val="single" w:sz="4" w:space="0" w:color="auto"/>
            </w:tcBorders>
            <w:shd w:val="clear" w:color="auto" w:fill="auto"/>
            <w:noWrap/>
            <w:tcMar>
              <w:top w:w="0" w:type="dxa"/>
              <w:left w:w="108" w:type="dxa"/>
              <w:bottom w:w="0" w:type="dxa"/>
              <w:right w:w="108" w:type="dxa"/>
            </w:tcMar>
          </w:tcPr>
          <w:p w:rsidR="006500D3" w:rsidRPr="00BF5CAB" w:rsidRDefault="006500D3" w:rsidP="00EC4586">
            <w:pPr>
              <w:pStyle w:val="TableText"/>
              <w:spacing w:before="60" w:after="60"/>
              <w:rPr>
                <w:rFonts w:eastAsia="Arial Unicode MS"/>
                <w:b/>
              </w:rPr>
            </w:pPr>
          </w:p>
        </w:tc>
        <w:tc>
          <w:tcPr>
            <w:tcW w:w="1526" w:type="dxa"/>
            <w:tcBorders>
              <w:bottom w:val="single" w:sz="4" w:space="0" w:color="auto"/>
            </w:tcBorders>
            <w:shd w:val="clear" w:color="auto" w:fill="auto"/>
            <w:noWrap/>
            <w:tcMar>
              <w:top w:w="0" w:type="dxa"/>
              <w:left w:w="108" w:type="dxa"/>
              <w:bottom w:w="0" w:type="dxa"/>
              <w:right w:w="108" w:type="dxa"/>
            </w:tcMar>
            <w:vAlign w:val="center"/>
          </w:tcPr>
          <w:p w:rsidR="006500D3" w:rsidRPr="00BF5CAB" w:rsidRDefault="006500D3" w:rsidP="00EC4586">
            <w:pPr>
              <w:pStyle w:val="TableText"/>
              <w:spacing w:before="60" w:after="60"/>
              <w:jc w:val="center"/>
              <w:rPr>
                <w:b/>
                <w:bCs/>
              </w:rPr>
            </w:pPr>
            <w:r w:rsidRPr="00BF5CAB">
              <w:rPr>
                <w:b/>
              </w:rPr>
              <w:t>Non-casino gaming machines</w:t>
            </w:r>
          </w:p>
        </w:tc>
        <w:tc>
          <w:tcPr>
            <w:tcW w:w="1417" w:type="dxa"/>
            <w:tcBorders>
              <w:bottom w:val="single" w:sz="4" w:space="0" w:color="auto"/>
            </w:tcBorders>
            <w:shd w:val="clear" w:color="auto" w:fill="auto"/>
            <w:noWrap/>
            <w:tcMar>
              <w:top w:w="0" w:type="dxa"/>
              <w:left w:w="108" w:type="dxa"/>
              <w:bottom w:w="0" w:type="dxa"/>
              <w:right w:w="108" w:type="dxa"/>
            </w:tcMar>
            <w:vAlign w:val="center"/>
          </w:tcPr>
          <w:p w:rsidR="006500D3" w:rsidRPr="00BF5CAB" w:rsidRDefault="006500D3" w:rsidP="00EC4586">
            <w:pPr>
              <w:pStyle w:val="TableText"/>
              <w:spacing w:before="60" w:after="60"/>
              <w:jc w:val="center"/>
              <w:rPr>
                <w:b/>
                <w:bCs/>
              </w:rPr>
            </w:pPr>
            <w:r w:rsidRPr="00BF5CAB">
              <w:rPr>
                <w:b/>
              </w:rPr>
              <w:t>Casinos</w:t>
            </w:r>
          </w:p>
        </w:tc>
        <w:tc>
          <w:tcPr>
            <w:tcW w:w="1560" w:type="dxa"/>
            <w:tcBorders>
              <w:bottom w:val="single" w:sz="4" w:space="0" w:color="auto"/>
            </w:tcBorders>
            <w:shd w:val="clear" w:color="auto" w:fill="auto"/>
            <w:noWrap/>
            <w:tcMar>
              <w:top w:w="0" w:type="dxa"/>
              <w:left w:w="108" w:type="dxa"/>
              <w:bottom w:w="0" w:type="dxa"/>
              <w:right w:w="108" w:type="dxa"/>
            </w:tcMar>
            <w:vAlign w:val="center"/>
          </w:tcPr>
          <w:p w:rsidR="006500D3" w:rsidRPr="00BF5CAB" w:rsidRDefault="006500D3" w:rsidP="00EC4586">
            <w:pPr>
              <w:pStyle w:val="TableText"/>
              <w:spacing w:before="60" w:after="60"/>
              <w:jc w:val="center"/>
              <w:rPr>
                <w:b/>
                <w:bCs/>
              </w:rPr>
            </w:pPr>
            <w:r w:rsidRPr="00BF5CAB">
              <w:rPr>
                <w:b/>
              </w:rPr>
              <w:t>New Zealand Racing Board</w:t>
            </w:r>
          </w:p>
        </w:tc>
        <w:tc>
          <w:tcPr>
            <w:tcW w:w="1559" w:type="dxa"/>
            <w:tcBorders>
              <w:bottom w:val="single" w:sz="4" w:space="0" w:color="auto"/>
            </w:tcBorders>
            <w:shd w:val="clear" w:color="auto" w:fill="auto"/>
            <w:vAlign w:val="center"/>
          </w:tcPr>
          <w:p w:rsidR="006500D3" w:rsidRPr="00BF5CAB" w:rsidRDefault="006500D3" w:rsidP="00EC4586">
            <w:pPr>
              <w:pStyle w:val="TableText"/>
              <w:spacing w:before="60" w:after="60"/>
              <w:jc w:val="center"/>
              <w:rPr>
                <w:b/>
                <w:bCs/>
              </w:rPr>
            </w:pPr>
            <w:r w:rsidRPr="00BF5CAB">
              <w:rPr>
                <w:b/>
              </w:rPr>
              <w:t>New Zealand Lotteries Commission</w:t>
            </w:r>
          </w:p>
        </w:tc>
      </w:tr>
      <w:tr w:rsidR="00246E41" w:rsidRPr="00614B90" w:rsidTr="00FC5B81">
        <w:trPr>
          <w:cantSplit/>
          <w:trHeight w:val="198"/>
        </w:trPr>
        <w:tc>
          <w:tcPr>
            <w:tcW w:w="737" w:type="dxa"/>
            <w:vMerge w:val="restart"/>
            <w:shd w:val="clear" w:color="auto" w:fill="auto"/>
            <w:noWrap/>
            <w:tcMar>
              <w:top w:w="0" w:type="dxa"/>
              <w:left w:w="108" w:type="dxa"/>
              <w:bottom w:w="0" w:type="dxa"/>
              <w:right w:w="108" w:type="dxa"/>
            </w:tcMar>
            <w:vAlign w:val="center"/>
          </w:tcPr>
          <w:p w:rsidR="00246E41" w:rsidRPr="00BF5CAB" w:rsidRDefault="00246E41" w:rsidP="00EC4586">
            <w:pPr>
              <w:pStyle w:val="TableText"/>
              <w:spacing w:before="60" w:after="60"/>
              <w:rPr>
                <w:rFonts w:eastAsia="Arial Unicode MS"/>
              </w:rPr>
            </w:pPr>
            <w:r>
              <w:rPr>
                <w:rFonts w:eastAsia="Arial Unicode MS"/>
              </w:rPr>
              <w:t>5/95</w:t>
            </w:r>
          </w:p>
        </w:tc>
        <w:tc>
          <w:tcPr>
            <w:tcW w:w="2018" w:type="dxa"/>
            <w:tcBorders>
              <w:bottom w:val="nil"/>
            </w:tcBorders>
            <w:shd w:val="clear" w:color="auto" w:fill="auto"/>
            <w:vAlign w:val="center"/>
          </w:tcPr>
          <w:p w:rsidR="00246E41" w:rsidRPr="00BF5CAB" w:rsidRDefault="00246E41" w:rsidP="00EC4586">
            <w:pPr>
              <w:pStyle w:val="TableText"/>
              <w:spacing w:before="60" w:after="60"/>
              <w:rPr>
                <w:rFonts w:eastAsia="Arial Unicode MS"/>
              </w:rPr>
            </w:pPr>
            <w:r>
              <w:rPr>
                <w:rFonts w:eastAsia="Arial Unicode MS"/>
              </w:rPr>
              <w:t>Share of budget</w:t>
            </w:r>
          </w:p>
        </w:tc>
        <w:tc>
          <w:tcPr>
            <w:tcW w:w="1526" w:type="dxa"/>
            <w:tcBorders>
              <w:bottom w:val="nil"/>
            </w:tcBorders>
            <w:shd w:val="clear" w:color="auto" w:fill="auto"/>
            <w:noWrap/>
            <w:tcMar>
              <w:top w:w="0" w:type="dxa"/>
              <w:left w:w="108" w:type="dxa"/>
              <w:bottom w:w="0" w:type="dxa"/>
              <w:right w:w="108" w:type="dxa"/>
            </w:tcMar>
            <w:vAlign w:val="center"/>
          </w:tcPr>
          <w:p w:rsidR="00246E41" w:rsidRPr="00BF5CAB" w:rsidRDefault="00246E41" w:rsidP="00EC4586">
            <w:pPr>
              <w:pStyle w:val="TableText"/>
              <w:spacing w:before="60" w:after="60"/>
              <w:jc w:val="center"/>
              <w:rPr>
                <w:bCs/>
              </w:rPr>
            </w:pPr>
            <w:r>
              <w:rPr>
                <w:bCs/>
              </w:rPr>
              <w:t>55.9</w:t>
            </w:r>
            <w:r w:rsidR="002630FC">
              <w:rPr>
                <w:bCs/>
              </w:rPr>
              <w:t>%</w:t>
            </w:r>
          </w:p>
        </w:tc>
        <w:tc>
          <w:tcPr>
            <w:tcW w:w="1417" w:type="dxa"/>
            <w:tcBorders>
              <w:bottom w:val="nil"/>
            </w:tcBorders>
            <w:shd w:val="clear" w:color="auto" w:fill="auto"/>
            <w:noWrap/>
            <w:tcMar>
              <w:top w:w="0" w:type="dxa"/>
              <w:left w:w="108" w:type="dxa"/>
              <w:bottom w:w="0" w:type="dxa"/>
              <w:right w:w="108" w:type="dxa"/>
            </w:tcMar>
            <w:vAlign w:val="center"/>
          </w:tcPr>
          <w:p w:rsidR="00246E41" w:rsidRPr="00BF5CAB" w:rsidRDefault="00246E41" w:rsidP="00EC4586">
            <w:pPr>
              <w:pStyle w:val="TableText"/>
              <w:spacing w:before="60" w:after="60"/>
              <w:jc w:val="center"/>
              <w:rPr>
                <w:bCs/>
              </w:rPr>
            </w:pPr>
            <w:r>
              <w:rPr>
                <w:bCs/>
              </w:rPr>
              <w:t>22.5</w:t>
            </w:r>
            <w:r w:rsidR="002630FC">
              <w:rPr>
                <w:bCs/>
              </w:rPr>
              <w:t>%</w:t>
            </w:r>
          </w:p>
        </w:tc>
        <w:tc>
          <w:tcPr>
            <w:tcW w:w="1560" w:type="dxa"/>
            <w:tcBorders>
              <w:bottom w:val="nil"/>
            </w:tcBorders>
            <w:shd w:val="clear" w:color="auto" w:fill="auto"/>
            <w:noWrap/>
            <w:tcMar>
              <w:top w:w="0" w:type="dxa"/>
              <w:left w:w="108" w:type="dxa"/>
              <w:bottom w:w="0" w:type="dxa"/>
              <w:right w:w="108" w:type="dxa"/>
            </w:tcMar>
            <w:vAlign w:val="center"/>
          </w:tcPr>
          <w:p w:rsidR="00246E41" w:rsidRPr="00BF5CAB" w:rsidRDefault="00246E41" w:rsidP="00EC4586">
            <w:pPr>
              <w:pStyle w:val="TableText"/>
              <w:spacing w:before="60" w:after="60"/>
              <w:jc w:val="center"/>
              <w:rPr>
                <w:bCs/>
              </w:rPr>
            </w:pPr>
            <w:r>
              <w:rPr>
                <w:bCs/>
              </w:rPr>
              <w:t>11.5</w:t>
            </w:r>
            <w:r w:rsidR="002630FC">
              <w:rPr>
                <w:bCs/>
              </w:rPr>
              <w:t>%</w:t>
            </w:r>
          </w:p>
        </w:tc>
        <w:tc>
          <w:tcPr>
            <w:tcW w:w="1559" w:type="dxa"/>
            <w:tcBorders>
              <w:bottom w:val="nil"/>
            </w:tcBorders>
            <w:shd w:val="clear" w:color="auto" w:fill="auto"/>
            <w:vAlign w:val="center"/>
          </w:tcPr>
          <w:p w:rsidR="00246E41" w:rsidRPr="00BF5CAB" w:rsidRDefault="00246E41" w:rsidP="00EC4586">
            <w:pPr>
              <w:pStyle w:val="TableText"/>
              <w:spacing w:before="60" w:after="60"/>
              <w:jc w:val="center"/>
              <w:rPr>
                <w:bCs/>
              </w:rPr>
            </w:pPr>
            <w:r>
              <w:rPr>
                <w:bCs/>
              </w:rPr>
              <w:t>10.1</w:t>
            </w:r>
            <w:r w:rsidR="002630FC">
              <w:rPr>
                <w:bCs/>
              </w:rPr>
              <w:t>%</w:t>
            </w:r>
          </w:p>
        </w:tc>
      </w:tr>
      <w:tr w:rsidR="00246E41" w:rsidRPr="00614B90" w:rsidTr="00FC5B81">
        <w:trPr>
          <w:cantSplit/>
          <w:trHeight w:val="198"/>
        </w:trPr>
        <w:tc>
          <w:tcPr>
            <w:tcW w:w="737" w:type="dxa"/>
            <w:vMerge/>
            <w:shd w:val="clear" w:color="auto" w:fill="auto"/>
            <w:noWrap/>
            <w:tcMar>
              <w:top w:w="0" w:type="dxa"/>
              <w:left w:w="108" w:type="dxa"/>
              <w:bottom w:w="0" w:type="dxa"/>
              <w:right w:w="108" w:type="dxa"/>
            </w:tcMar>
            <w:vAlign w:val="center"/>
          </w:tcPr>
          <w:p w:rsidR="00246E41" w:rsidRPr="00BF5CAB" w:rsidRDefault="00246E41" w:rsidP="00EC4586">
            <w:pPr>
              <w:pStyle w:val="TableText"/>
              <w:spacing w:before="60" w:after="60"/>
              <w:rPr>
                <w:rFonts w:eastAsia="Arial Unicode MS"/>
              </w:rPr>
            </w:pPr>
          </w:p>
        </w:tc>
        <w:tc>
          <w:tcPr>
            <w:tcW w:w="2018" w:type="dxa"/>
            <w:tcBorders>
              <w:top w:val="nil"/>
              <w:bottom w:val="nil"/>
            </w:tcBorders>
            <w:shd w:val="clear" w:color="auto" w:fill="auto"/>
            <w:vAlign w:val="center"/>
          </w:tcPr>
          <w:p w:rsidR="00246E41" w:rsidRPr="00BF5CAB" w:rsidRDefault="00246E41" w:rsidP="00EC4586">
            <w:pPr>
              <w:pStyle w:val="TableText"/>
              <w:spacing w:before="60" w:after="60"/>
              <w:rPr>
                <w:rFonts w:eastAsia="Arial Unicode MS"/>
              </w:rPr>
            </w:pPr>
            <w:r>
              <w:rPr>
                <w:rFonts w:eastAsia="Arial Unicode MS"/>
              </w:rPr>
              <w:t>Levy rate</w:t>
            </w:r>
          </w:p>
        </w:tc>
        <w:tc>
          <w:tcPr>
            <w:tcW w:w="1526" w:type="dxa"/>
            <w:tcBorders>
              <w:top w:val="nil"/>
              <w:bottom w:val="nil"/>
            </w:tcBorders>
            <w:shd w:val="clear" w:color="auto" w:fill="auto"/>
            <w:noWrap/>
            <w:tcMar>
              <w:top w:w="0" w:type="dxa"/>
              <w:left w:w="108" w:type="dxa"/>
              <w:bottom w:w="0" w:type="dxa"/>
              <w:right w:w="108" w:type="dxa"/>
            </w:tcMar>
            <w:vAlign w:val="center"/>
          </w:tcPr>
          <w:p w:rsidR="00246E41" w:rsidRDefault="00246E41" w:rsidP="00EC4586">
            <w:pPr>
              <w:pStyle w:val="TableText"/>
              <w:spacing w:before="60" w:after="60"/>
              <w:jc w:val="center"/>
              <w:rPr>
                <w:bCs/>
              </w:rPr>
            </w:pPr>
            <w:r>
              <w:rPr>
                <w:bCs/>
              </w:rPr>
              <w:t>1.32</w:t>
            </w:r>
            <w:r w:rsidR="002630FC">
              <w:rPr>
                <w:bCs/>
              </w:rPr>
              <w:t>%</w:t>
            </w:r>
          </w:p>
        </w:tc>
        <w:tc>
          <w:tcPr>
            <w:tcW w:w="1417" w:type="dxa"/>
            <w:tcBorders>
              <w:top w:val="nil"/>
              <w:bottom w:val="nil"/>
            </w:tcBorders>
            <w:shd w:val="clear" w:color="auto" w:fill="auto"/>
            <w:noWrap/>
            <w:tcMar>
              <w:top w:w="0" w:type="dxa"/>
              <w:left w:w="108" w:type="dxa"/>
              <w:bottom w:w="0" w:type="dxa"/>
              <w:right w:w="108" w:type="dxa"/>
            </w:tcMar>
            <w:vAlign w:val="center"/>
          </w:tcPr>
          <w:p w:rsidR="00246E41" w:rsidRDefault="00246E41" w:rsidP="00EC4586">
            <w:pPr>
              <w:pStyle w:val="TableText"/>
              <w:spacing w:before="60" w:after="60"/>
              <w:jc w:val="center"/>
              <w:rPr>
                <w:bCs/>
              </w:rPr>
            </w:pPr>
            <w:r>
              <w:rPr>
                <w:bCs/>
              </w:rPr>
              <w:t>0.87</w:t>
            </w:r>
            <w:r w:rsidR="002630FC">
              <w:rPr>
                <w:bCs/>
              </w:rPr>
              <w:t>%</w:t>
            </w:r>
          </w:p>
        </w:tc>
        <w:tc>
          <w:tcPr>
            <w:tcW w:w="1560" w:type="dxa"/>
            <w:tcBorders>
              <w:top w:val="nil"/>
              <w:bottom w:val="nil"/>
            </w:tcBorders>
            <w:shd w:val="clear" w:color="auto" w:fill="auto"/>
            <w:noWrap/>
            <w:tcMar>
              <w:top w:w="0" w:type="dxa"/>
              <w:left w:w="108" w:type="dxa"/>
              <w:bottom w:w="0" w:type="dxa"/>
              <w:right w:w="108" w:type="dxa"/>
            </w:tcMar>
            <w:vAlign w:val="center"/>
          </w:tcPr>
          <w:p w:rsidR="00246E41" w:rsidRDefault="00246E41" w:rsidP="00EC4586">
            <w:pPr>
              <w:pStyle w:val="TableText"/>
              <w:spacing w:before="60" w:after="60"/>
              <w:jc w:val="center"/>
              <w:rPr>
                <w:bCs/>
              </w:rPr>
            </w:pPr>
            <w:r>
              <w:rPr>
                <w:bCs/>
              </w:rPr>
              <w:t>0.50</w:t>
            </w:r>
            <w:r w:rsidR="002630FC">
              <w:rPr>
                <w:bCs/>
              </w:rPr>
              <w:t>%</w:t>
            </w:r>
          </w:p>
        </w:tc>
        <w:tc>
          <w:tcPr>
            <w:tcW w:w="1559" w:type="dxa"/>
            <w:tcBorders>
              <w:top w:val="nil"/>
              <w:bottom w:val="nil"/>
            </w:tcBorders>
            <w:shd w:val="clear" w:color="auto" w:fill="auto"/>
            <w:vAlign w:val="center"/>
          </w:tcPr>
          <w:p w:rsidR="00246E41" w:rsidRDefault="00246E41" w:rsidP="00EC4586">
            <w:pPr>
              <w:pStyle w:val="TableText"/>
              <w:spacing w:before="60" w:after="60"/>
              <w:jc w:val="center"/>
              <w:rPr>
                <w:bCs/>
              </w:rPr>
            </w:pPr>
            <w:r>
              <w:rPr>
                <w:bCs/>
              </w:rPr>
              <w:t>0.38</w:t>
            </w:r>
            <w:r w:rsidR="002630FC">
              <w:rPr>
                <w:bCs/>
              </w:rPr>
              <w:t>%</w:t>
            </w:r>
          </w:p>
        </w:tc>
      </w:tr>
      <w:tr w:rsidR="00246E41" w:rsidRPr="00614B90" w:rsidTr="00FC5B81">
        <w:trPr>
          <w:cantSplit/>
          <w:trHeight w:val="198"/>
        </w:trPr>
        <w:tc>
          <w:tcPr>
            <w:tcW w:w="737" w:type="dxa"/>
            <w:vMerge/>
            <w:tcBorders>
              <w:bottom w:val="single" w:sz="4" w:space="0" w:color="auto"/>
            </w:tcBorders>
            <w:shd w:val="clear" w:color="auto" w:fill="auto"/>
            <w:noWrap/>
            <w:tcMar>
              <w:top w:w="0" w:type="dxa"/>
              <w:left w:w="108" w:type="dxa"/>
              <w:bottom w:w="0" w:type="dxa"/>
              <w:right w:w="108" w:type="dxa"/>
            </w:tcMar>
            <w:vAlign w:val="center"/>
          </w:tcPr>
          <w:p w:rsidR="00246E41" w:rsidRPr="00BF5CAB" w:rsidRDefault="00246E41" w:rsidP="00EC4586">
            <w:pPr>
              <w:pStyle w:val="TableText"/>
              <w:spacing w:before="60" w:after="60"/>
              <w:rPr>
                <w:rFonts w:eastAsia="Arial Unicode MS"/>
              </w:rPr>
            </w:pPr>
          </w:p>
        </w:tc>
        <w:tc>
          <w:tcPr>
            <w:tcW w:w="2018" w:type="dxa"/>
            <w:tcBorders>
              <w:top w:val="nil"/>
              <w:bottom w:val="single" w:sz="4" w:space="0" w:color="auto"/>
            </w:tcBorders>
            <w:shd w:val="clear" w:color="auto" w:fill="auto"/>
            <w:vAlign w:val="center"/>
          </w:tcPr>
          <w:p w:rsidR="00246E41" w:rsidRDefault="00246E41" w:rsidP="00F06A8B">
            <w:pPr>
              <w:pStyle w:val="TableText"/>
              <w:spacing w:before="60" w:after="60"/>
              <w:rPr>
                <w:rFonts w:eastAsia="Arial Unicode MS"/>
              </w:rPr>
            </w:pPr>
            <w:r>
              <w:rPr>
                <w:rFonts w:eastAsia="Arial Unicode MS"/>
              </w:rPr>
              <w:t>Expected amount</w:t>
            </w:r>
          </w:p>
        </w:tc>
        <w:tc>
          <w:tcPr>
            <w:tcW w:w="1526" w:type="dxa"/>
            <w:tcBorders>
              <w:top w:val="nil"/>
              <w:bottom w:val="single" w:sz="4" w:space="0" w:color="auto"/>
            </w:tcBorders>
            <w:shd w:val="clear" w:color="auto" w:fill="auto"/>
            <w:noWrap/>
            <w:tcMar>
              <w:top w:w="0" w:type="dxa"/>
              <w:left w:w="108" w:type="dxa"/>
              <w:bottom w:w="0" w:type="dxa"/>
              <w:right w:w="108" w:type="dxa"/>
            </w:tcMar>
            <w:vAlign w:val="center"/>
          </w:tcPr>
          <w:p w:rsidR="00246E41" w:rsidRDefault="002630FC" w:rsidP="00EC4586">
            <w:pPr>
              <w:pStyle w:val="TableText"/>
              <w:spacing w:before="60" w:after="60"/>
              <w:jc w:val="center"/>
              <w:rPr>
                <w:bCs/>
              </w:rPr>
            </w:pPr>
            <w:r>
              <w:rPr>
                <w:bCs/>
              </w:rPr>
              <w:t>$32.170m</w:t>
            </w:r>
          </w:p>
        </w:tc>
        <w:tc>
          <w:tcPr>
            <w:tcW w:w="1417" w:type="dxa"/>
            <w:tcBorders>
              <w:top w:val="nil"/>
              <w:bottom w:val="single" w:sz="4" w:space="0" w:color="auto"/>
            </w:tcBorders>
            <w:shd w:val="clear" w:color="auto" w:fill="auto"/>
            <w:noWrap/>
            <w:tcMar>
              <w:top w:w="0" w:type="dxa"/>
              <w:left w:w="108" w:type="dxa"/>
              <w:bottom w:w="0" w:type="dxa"/>
              <w:right w:w="108" w:type="dxa"/>
            </w:tcMar>
            <w:vAlign w:val="center"/>
          </w:tcPr>
          <w:p w:rsidR="00246E41" w:rsidRDefault="002630FC" w:rsidP="00EC4586">
            <w:pPr>
              <w:pStyle w:val="TableText"/>
              <w:spacing w:before="60" w:after="60"/>
              <w:jc w:val="center"/>
              <w:rPr>
                <w:bCs/>
              </w:rPr>
            </w:pPr>
            <w:r>
              <w:rPr>
                <w:bCs/>
              </w:rPr>
              <w:t>$14.058m</w:t>
            </w:r>
          </w:p>
        </w:tc>
        <w:tc>
          <w:tcPr>
            <w:tcW w:w="1560" w:type="dxa"/>
            <w:tcBorders>
              <w:top w:val="nil"/>
              <w:bottom w:val="single" w:sz="4" w:space="0" w:color="auto"/>
            </w:tcBorders>
            <w:shd w:val="clear" w:color="auto" w:fill="auto"/>
            <w:noWrap/>
            <w:tcMar>
              <w:top w:w="0" w:type="dxa"/>
              <w:left w:w="108" w:type="dxa"/>
              <w:bottom w:w="0" w:type="dxa"/>
              <w:right w:w="108" w:type="dxa"/>
            </w:tcMar>
            <w:vAlign w:val="center"/>
          </w:tcPr>
          <w:p w:rsidR="00246E41" w:rsidRDefault="002630FC" w:rsidP="00EC4586">
            <w:pPr>
              <w:pStyle w:val="TableText"/>
              <w:spacing w:before="60" w:after="60"/>
              <w:jc w:val="center"/>
              <w:rPr>
                <w:bCs/>
              </w:rPr>
            </w:pPr>
            <w:r>
              <w:rPr>
                <w:bCs/>
              </w:rPr>
              <w:t>$4.950m</w:t>
            </w:r>
          </w:p>
        </w:tc>
        <w:tc>
          <w:tcPr>
            <w:tcW w:w="1559" w:type="dxa"/>
            <w:tcBorders>
              <w:top w:val="nil"/>
              <w:bottom w:val="single" w:sz="4" w:space="0" w:color="auto"/>
            </w:tcBorders>
            <w:shd w:val="clear" w:color="auto" w:fill="auto"/>
            <w:vAlign w:val="center"/>
          </w:tcPr>
          <w:p w:rsidR="00246E41" w:rsidRDefault="002630FC" w:rsidP="00EC4586">
            <w:pPr>
              <w:pStyle w:val="TableText"/>
              <w:spacing w:before="60" w:after="60"/>
              <w:jc w:val="center"/>
              <w:rPr>
                <w:bCs/>
              </w:rPr>
            </w:pPr>
            <w:r>
              <w:rPr>
                <w:bCs/>
              </w:rPr>
              <w:t>$4.884m</w:t>
            </w:r>
          </w:p>
        </w:tc>
      </w:tr>
      <w:tr w:rsidR="00246E41" w:rsidRPr="00614B90" w:rsidTr="00FC5B81">
        <w:trPr>
          <w:cantSplit/>
          <w:trHeight w:val="198"/>
        </w:trPr>
        <w:tc>
          <w:tcPr>
            <w:tcW w:w="737" w:type="dxa"/>
            <w:vMerge w:val="restart"/>
            <w:tcBorders>
              <w:top w:val="single" w:sz="4" w:space="0" w:color="auto"/>
            </w:tcBorders>
            <w:shd w:val="clear" w:color="auto" w:fill="auto"/>
            <w:noWrap/>
            <w:tcMar>
              <w:top w:w="0" w:type="dxa"/>
              <w:left w:w="108" w:type="dxa"/>
              <w:bottom w:w="0" w:type="dxa"/>
              <w:right w:w="108" w:type="dxa"/>
            </w:tcMar>
            <w:vAlign w:val="center"/>
          </w:tcPr>
          <w:p w:rsidR="00246E41" w:rsidRPr="00BF5CAB" w:rsidRDefault="00246E41" w:rsidP="00EC4586">
            <w:pPr>
              <w:pStyle w:val="TableText"/>
              <w:spacing w:before="60" w:after="60"/>
            </w:pPr>
            <w:r w:rsidRPr="00BF5CAB">
              <w:t>10/90</w:t>
            </w:r>
          </w:p>
        </w:tc>
        <w:tc>
          <w:tcPr>
            <w:tcW w:w="2018" w:type="dxa"/>
            <w:tcBorders>
              <w:top w:val="single" w:sz="4" w:space="0" w:color="auto"/>
              <w:bottom w:val="nil"/>
            </w:tcBorders>
            <w:shd w:val="clear" w:color="auto" w:fill="auto"/>
            <w:vAlign w:val="center"/>
          </w:tcPr>
          <w:p w:rsidR="00246E41" w:rsidRPr="00BF5CAB" w:rsidRDefault="00246E41" w:rsidP="00EC4586">
            <w:pPr>
              <w:pStyle w:val="TableText"/>
              <w:spacing w:before="60" w:after="60"/>
            </w:pPr>
            <w:r>
              <w:rPr>
                <w:rFonts w:eastAsia="Arial Unicode MS"/>
              </w:rPr>
              <w:t>Share of budget</w:t>
            </w:r>
          </w:p>
        </w:tc>
        <w:tc>
          <w:tcPr>
            <w:tcW w:w="1526" w:type="dxa"/>
            <w:tcBorders>
              <w:top w:val="single" w:sz="4" w:space="0" w:color="auto"/>
              <w:bottom w:val="nil"/>
            </w:tcBorders>
            <w:shd w:val="clear" w:color="auto" w:fill="auto"/>
            <w:noWrap/>
            <w:tcMar>
              <w:top w:w="0" w:type="dxa"/>
              <w:left w:w="108" w:type="dxa"/>
              <w:bottom w:w="0" w:type="dxa"/>
              <w:right w:w="108" w:type="dxa"/>
            </w:tcMar>
            <w:vAlign w:val="center"/>
          </w:tcPr>
          <w:p w:rsidR="00246E41" w:rsidRPr="00BF5CAB" w:rsidRDefault="00246E41" w:rsidP="00EC4586">
            <w:pPr>
              <w:pStyle w:val="TableText"/>
              <w:spacing w:before="60" w:after="60"/>
              <w:jc w:val="center"/>
              <w:rPr>
                <w:rFonts w:eastAsia="Arial Unicode MS"/>
              </w:rPr>
            </w:pPr>
            <w:r>
              <w:rPr>
                <w:bCs/>
              </w:rPr>
              <w:t>55.0</w:t>
            </w:r>
            <w:r w:rsidR="002630FC">
              <w:rPr>
                <w:bCs/>
              </w:rPr>
              <w:t>%</w:t>
            </w:r>
          </w:p>
        </w:tc>
        <w:tc>
          <w:tcPr>
            <w:tcW w:w="1417" w:type="dxa"/>
            <w:tcBorders>
              <w:top w:val="single" w:sz="4" w:space="0" w:color="auto"/>
              <w:bottom w:val="nil"/>
            </w:tcBorders>
            <w:shd w:val="clear" w:color="auto" w:fill="auto"/>
            <w:noWrap/>
            <w:tcMar>
              <w:top w:w="0" w:type="dxa"/>
              <w:left w:w="108" w:type="dxa"/>
              <w:bottom w:w="0" w:type="dxa"/>
              <w:right w:w="108" w:type="dxa"/>
            </w:tcMar>
            <w:vAlign w:val="center"/>
          </w:tcPr>
          <w:p w:rsidR="00246E41" w:rsidRPr="00BF5CAB" w:rsidRDefault="00246E41" w:rsidP="00EC4586">
            <w:pPr>
              <w:pStyle w:val="TableText"/>
              <w:spacing w:before="60" w:after="60"/>
              <w:jc w:val="center"/>
              <w:rPr>
                <w:rFonts w:eastAsia="Arial Unicode MS"/>
              </w:rPr>
            </w:pPr>
            <w:r>
              <w:rPr>
                <w:bCs/>
              </w:rPr>
              <w:t>22.7</w:t>
            </w:r>
            <w:r w:rsidR="002630FC">
              <w:rPr>
                <w:bCs/>
              </w:rPr>
              <w:t>%</w:t>
            </w:r>
          </w:p>
        </w:tc>
        <w:tc>
          <w:tcPr>
            <w:tcW w:w="1560" w:type="dxa"/>
            <w:tcBorders>
              <w:top w:val="single" w:sz="4" w:space="0" w:color="auto"/>
              <w:bottom w:val="nil"/>
            </w:tcBorders>
            <w:shd w:val="clear" w:color="auto" w:fill="auto"/>
            <w:noWrap/>
            <w:tcMar>
              <w:top w:w="0" w:type="dxa"/>
              <w:left w:w="108" w:type="dxa"/>
              <w:bottom w:w="0" w:type="dxa"/>
              <w:right w:w="108" w:type="dxa"/>
            </w:tcMar>
            <w:vAlign w:val="center"/>
          </w:tcPr>
          <w:p w:rsidR="00246E41" w:rsidRPr="00BF5CAB" w:rsidRDefault="00246E41" w:rsidP="00EC4586">
            <w:pPr>
              <w:pStyle w:val="TableText"/>
              <w:spacing w:before="60" w:after="60"/>
              <w:jc w:val="center"/>
              <w:rPr>
                <w:rFonts w:eastAsia="Arial Unicode MS"/>
              </w:rPr>
            </w:pPr>
            <w:r>
              <w:rPr>
                <w:bCs/>
              </w:rPr>
              <w:t>11.7</w:t>
            </w:r>
            <w:r w:rsidR="002630FC">
              <w:rPr>
                <w:bCs/>
              </w:rPr>
              <w:t>%</w:t>
            </w:r>
          </w:p>
        </w:tc>
        <w:tc>
          <w:tcPr>
            <w:tcW w:w="1559" w:type="dxa"/>
            <w:tcBorders>
              <w:top w:val="single" w:sz="4" w:space="0" w:color="auto"/>
              <w:bottom w:val="nil"/>
            </w:tcBorders>
            <w:shd w:val="clear" w:color="auto" w:fill="auto"/>
            <w:vAlign w:val="center"/>
          </w:tcPr>
          <w:p w:rsidR="00246E41" w:rsidRPr="00BF5CAB" w:rsidRDefault="00246E41" w:rsidP="00EC4586">
            <w:pPr>
              <w:pStyle w:val="TableText"/>
              <w:spacing w:before="60" w:after="60"/>
              <w:jc w:val="center"/>
              <w:rPr>
                <w:rFonts w:eastAsia="Arial Unicode MS"/>
              </w:rPr>
            </w:pPr>
            <w:r>
              <w:rPr>
                <w:bCs/>
              </w:rPr>
              <w:t>10.6</w:t>
            </w:r>
            <w:r w:rsidR="002630FC">
              <w:rPr>
                <w:bCs/>
              </w:rPr>
              <w:t>%</w:t>
            </w:r>
          </w:p>
        </w:tc>
      </w:tr>
      <w:tr w:rsidR="00246E41" w:rsidRPr="00614B90" w:rsidTr="00FC5B81">
        <w:trPr>
          <w:cantSplit/>
          <w:trHeight w:val="198"/>
        </w:trPr>
        <w:tc>
          <w:tcPr>
            <w:tcW w:w="737" w:type="dxa"/>
            <w:vMerge/>
            <w:shd w:val="clear" w:color="auto" w:fill="auto"/>
            <w:noWrap/>
            <w:tcMar>
              <w:top w:w="0" w:type="dxa"/>
              <w:left w:w="108" w:type="dxa"/>
              <w:bottom w:w="0" w:type="dxa"/>
              <w:right w:w="108" w:type="dxa"/>
            </w:tcMar>
            <w:vAlign w:val="center"/>
          </w:tcPr>
          <w:p w:rsidR="00246E41" w:rsidRPr="00BF5CAB" w:rsidRDefault="00246E41" w:rsidP="00EC4586">
            <w:pPr>
              <w:pStyle w:val="TableText"/>
              <w:spacing w:before="60" w:after="60"/>
            </w:pPr>
          </w:p>
        </w:tc>
        <w:tc>
          <w:tcPr>
            <w:tcW w:w="2018" w:type="dxa"/>
            <w:tcBorders>
              <w:top w:val="nil"/>
              <w:bottom w:val="nil"/>
            </w:tcBorders>
            <w:shd w:val="clear" w:color="auto" w:fill="auto"/>
            <w:vAlign w:val="center"/>
          </w:tcPr>
          <w:p w:rsidR="00246E41" w:rsidRPr="00BF5CAB" w:rsidRDefault="00246E41" w:rsidP="00EC4586">
            <w:pPr>
              <w:pStyle w:val="TableText"/>
              <w:spacing w:before="60" w:after="60"/>
            </w:pPr>
            <w:r>
              <w:rPr>
                <w:rFonts w:eastAsia="Arial Unicode MS"/>
              </w:rPr>
              <w:t>Levy rate</w:t>
            </w:r>
          </w:p>
        </w:tc>
        <w:tc>
          <w:tcPr>
            <w:tcW w:w="1526" w:type="dxa"/>
            <w:tcBorders>
              <w:top w:val="nil"/>
              <w:bottom w:val="nil"/>
            </w:tcBorders>
            <w:shd w:val="clear" w:color="auto" w:fill="auto"/>
            <w:noWrap/>
            <w:tcMar>
              <w:top w:w="0" w:type="dxa"/>
              <w:left w:w="108" w:type="dxa"/>
              <w:bottom w:w="0" w:type="dxa"/>
              <w:right w:w="108" w:type="dxa"/>
            </w:tcMar>
            <w:vAlign w:val="center"/>
          </w:tcPr>
          <w:p w:rsidR="00246E41" w:rsidRPr="00BF5CAB" w:rsidRDefault="00246E41" w:rsidP="00EC4586">
            <w:pPr>
              <w:pStyle w:val="TableText"/>
              <w:spacing w:before="60" w:after="60"/>
              <w:jc w:val="center"/>
              <w:rPr>
                <w:bCs/>
              </w:rPr>
            </w:pPr>
            <w:r w:rsidRPr="00BF5CAB">
              <w:rPr>
                <w:bCs/>
              </w:rPr>
              <w:t>1.3</w:t>
            </w:r>
            <w:r>
              <w:rPr>
                <w:bCs/>
              </w:rPr>
              <w:t>0</w:t>
            </w:r>
            <w:r w:rsidR="002630FC">
              <w:rPr>
                <w:bCs/>
              </w:rPr>
              <w:t>%</w:t>
            </w:r>
          </w:p>
        </w:tc>
        <w:tc>
          <w:tcPr>
            <w:tcW w:w="1417" w:type="dxa"/>
            <w:tcBorders>
              <w:top w:val="nil"/>
              <w:bottom w:val="nil"/>
            </w:tcBorders>
            <w:shd w:val="clear" w:color="auto" w:fill="auto"/>
            <w:noWrap/>
            <w:tcMar>
              <w:top w:w="0" w:type="dxa"/>
              <w:left w:w="108" w:type="dxa"/>
              <w:bottom w:w="0" w:type="dxa"/>
              <w:right w:w="108" w:type="dxa"/>
            </w:tcMar>
            <w:vAlign w:val="center"/>
          </w:tcPr>
          <w:p w:rsidR="00246E41" w:rsidRPr="00BF5CAB" w:rsidRDefault="00246E41" w:rsidP="00EC4586">
            <w:pPr>
              <w:pStyle w:val="TableText"/>
              <w:spacing w:before="60" w:after="60"/>
              <w:jc w:val="center"/>
              <w:rPr>
                <w:bCs/>
              </w:rPr>
            </w:pPr>
            <w:r w:rsidRPr="00BF5CAB">
              <w:rPr>
                <w:bCs/>
              </w:rPr>
              <w:t>0.</w:t>
            </w:r>
            <w:r>
              <w:rPr>
                <w:bCs/>
              </w:rPr>
              <w:t>87</w:t>
            </w:r>
            <w:r w:rsidR="002630FC">
              <w:rPr>
                <w:bCs/>
              </w:rPr>
              <w:t>%</w:t>
            </w:r>
          </w:p>
        </w:tc>
        <w:tc>
          <w:tcPr>
            <w:tcW w:w="1560" w:type="dxa"/>
            <w:tcBorders>
              <w:top w:val="nil"/>
              <w:bottom w:val="nil"/>
            </w:tcBorders>
            <w:shd w:val="clear" w:color="auto" w:fill="auto"/>
            <w:noWrap/>
            <w:tcMar>
              <w:top w:w="0" w:type="dxa"/>
              <w:left w:w="108" w:type="dxa"/>
              <w:bottom w:w="0" w:type="dxa"/>
              <w:right w:w="108" w:type="dxa"/>
            </w:tcMar>
            <w:vAlign w:val="center"/>
          </w:tcPr>
          <w:p w:rsidR="00246E41" w:rsidRPr="00BF5CAB" w:rsidRDefault="00246E41" w:rsidP="00EC4586">
            <w:pPr>
              <w:pStyle w:val="TableText"/>
              <w:spacing w:before="60" w:after="60"/>
              <w:jc w:val="center"/>
              <w:rPr>
                <w:bCs/>
              </w:rPr>
            </w:pPr>
            <w:r w:rsidRPr="00BF5CAB">
              <w:rPr>
                <w:bCs/>
              </w:rPr>
              <w:t>0.</w:t>
            </w:r>
            <w:r>
              <w:rPr>
                <w:bCs/>
              </w:rPr>
              <w:t>52</w:t>
            </w:r>
            <w:r w:rsidR="002630FC">
              <w:rPr>
                <w:bCs/>
              </w:rPr>
              <w:t>%</w:t>
            </w:r>
          </w:p>
        </w:tc>
        <w:tc>
          <w:tcPr>
            <w:tcW w:w="1559" w:type="dxa"/>
            <w:tcBorders>
              <w:top w:val="nil"/>
              <w:bottom w:val="nil"/>
            </w:tcBorders>
            <w:shd w:val="clear" w:color="auto" w:fill="auto"/>
            <w:vAlign w:val="center"/>
          </w:tcPr>
          <w:p w:rsidR="00246E41" w:rsidRPr="00BF5CAB" w:rsidRDefault="00246E41" w:rsidP="00EC4586">
            <w:pPr>
              <w:pStyle w:val="TableText"/>
              <w:spacing w:before="60" w:after="60"/>
              <w:jc w:val="center"/>
              <w:rPr>
                <w:bCs/>
              </w:rPr>
            </w:pPr>
            <w:r w:rsidRPr="00BF5CAB">
              <w:rPr>
                <w:bCs/>
              </w:rPr>
              <w:t>0.</w:t>
            </w:r>
            <w:r>
              <w:rPr>
                <w:bCs/>
              </w:rPr>
              <w:t>40</w:t>
            </w:r>
            <w:r w:rsidR="002630FC">
              <w:rPr>
                <w:bCs/>
              </w:rPr>
              <w:t>%</w:t>
            </w:r>
          </w:p>
        </w:tc>
      </w:tr>
      <w:tr w:rsidR="00246E41" w:rsidRPr="00614B90" w:rsidTr="00FC5B81">
        <w:trPr>
          <w:cantSplit/>
          <w:trHeight w:val="198"/>
        </w:trPr>
        <w:tc>
          <w:tcPr>
            <w:tcW w:w="737" w:type="dxa"/>
            <w:vMerge/>
            <w:tcBorders>
              <w:bottom w:val="single" w:sz="4" w:space="0" w:color="auto"/>
            </w:tcBorders>
            <w:shd w:val="clear" w:color="auto" w:fill="auto"/>
            <w:noWrap/>
            <w:tcMar>
              <w:top w:w="0" w:type="dxa"/>
              <w:left w:w="108" w:type="dxa"/>
              <w:bottom w:w="0" w:type="dxa"/>
              <w:right w:w="108" w:type="dxa"/>
            </w:tcMar>
            <w:vAlign w:val="center"/>
          </w:tcPr>
          <w:p w:rsidR="00246E41" w:rsidRPr="00BF5CAB" w:rsidRDefault="00246E41" w:rsidP="00EC4586">
            <w:pPr>
              <w:pStyle w:val="TableText"/>
              <w:spacing w:before="60" w:after="60"/>
            </w:pPr>
          </w:p>
        </w:tc>
        <w:tc>
          <w:tcPr>
            <w:tcW w:w="2018" w:type="dxa"/>
            <w:tcBorders>
              <w:top w:val="nil"/>
              <w:bottom w:val="single" w:sz="4" w:space="0" w:color="auto"/>
            </w:tcBorders>
            <w:shd w:val="clear" w:color="auto" w:fill="auto"/>
            <w:vAlign w:val="center"/>
          </w:tcPr>
          <w:p w:rsidR="00246E41" w:rsidRDefault="00246E41" w:rsidP="00F06A8B">
            <w:pPr>
              <w:pStyle w:val="TableText"/>
              <w:spacing w:before="60" w:after="60"/>
              <w:rPr>
                <w:rFonts w:eastAsia="Arial Unicode MS"/>
              </w:rPr>
            </w:pPr>
            <w:r>
              <w:rPr>
                <w:rFonts w:eastAsia="Arial Unicode MS"/>
              </w:rPr>
              <w:t>Expected amount</w:t>
            </w:r>
          </w:p>
        </w:tc>
        <w:tc>
          <w:tcPr>
            <w:tcW w:w="1526" w:type="dxa"/>
            <w:tcBorders>
              <w:top w:val="nil"/>
              <w:bottom w:val="single" w:sz="4" w:space="0" w:color="auto"/>
            </w:tcBorders>
            <w:shd w:val="clear" w:color="auto" w:fill="auto"/>
            <w:noWrap/>
            <w:tcMar>
              <w:top w:w="0" w:type="dxa"/>
              <w:left w:w="108" w:type="dxa"/>
              <w:bottom w:w="0" w:type="dxa"/>
              <w:right w:w="108" w:type="dxa"/>
            </w:tcMar>
            <w:vAlign w:val="center"/>
          </w:tcPr>
          <w:p w:rsidR="00246E41" w:rsidRPr="00BF5CAB" w:rsidRDefault="002630FC" w:rsidP="00EC4586">
            <w:pPr>
              <w:pStyle w:val="TableText"/>
              <w:spacing w:before="60" w:after="60"/>
              <w:jc w:val="center"/>
              <w:rPr>
                <w:bCs/>
              </w:rPr>
            </w:pPr>
            <w:r>
              <w:rPr>
                <w:bCs/>
              </w:rPr>
              <w:t>$31.683m</w:t>
            </w:r>
          </w:p>
        </w:tc>
        <w:tc>
          <w:tcPr>
            <w:tcW w:w="1417" w:type="dxa"/>
            <w:tcBorders>
              <w:top w:val="nil"/>
              <w:bottom w:val="single" w:sz="4" w:space="0" w:color="auto"/>
            </w:tcBorders>
            <w:shd w:val="clear" w:color="auto" w:fill="auto"/>
            <w:noWrap/>
            <w:tcMar>
              <w:top w:w="0" w:type="dxa"/>
              <w:left w:w="108" w:type="dxa"/>
              <w:bottom w:w="0" w:type="dxa"/>
              <w:right w:w="108" w:type="dxa"/>
            </w:tcMar>
            <w:vAlign w:val="center"/>
          </w:tcPr>
          <w:p w:rsidR="00246E41" w:rsidRPr="00BF5CAB" w:rsidRDefault="002630FC" w:rsidP="00EC4586">
            <w:pPr>
              <w:pStyle w:val="TableText"/>
              <w:spacing w:before="60" w:after="60"/>
              <w:jc w:val="center"/>
              <w:rPr>
                <w:bCs/>
              </w:rPr>
            </w:pPr>
            <w:r>
              <w:rPr>
                <w:bCs/>
              </w:rPr>
              <w:t>$14.058m</w:t>
            </w:r>
          </w:p>
        </w:tc>
        <w:tc>
          <w:tcPr>
            <w:tcW w:w="1560" w:type="dxa"/>
            <w:tcBorders>
              <w:top w:val="nil"/>
              <w:bottom w:val="single" w:sz="4" w:space="0" w:color="auto"/>
            </w:tcBorders>
            <w:shd w:val="clear" w:color="auto" w:fill="auto"/>
            <w:noWrap/>
            <w:tcMar>
              <w:top w:w="0" w:type="dxa"/>
              <w:left w:w="108" w:type="dxa"/>
              <w:bottom w:w="0" w:type="dxa"/>
              <w:right w:w="108" w:type="dxa"/>
            </w:tcMar>
            <w:vAlign w:val="center"/>
          </w:tcPr>
          <w:p w:rsidR="00246E41" w:rsidRPr="00BF5CAB" w:rsidRDefault="002630FC" w:rsidP="00EC4586">
            <w:pPr>
              <w:pStyle w:val="TableText"/>
              <w:spacing w:before="60" w:after="60"/>
              <w:jc w:val="center"/>
              <w:rPr>
                <w:bCs/>
              </w:rPr>
            </w:pPr>
            <w:r>
              <w:rPr>
                <w:bCs/>
              </w:rPr>
              <w:t>$5.148m</w:t>
            </w:r>
          </w:p>
        </w:tc>
        <w:tc>
          <w:tcPr>
            <w:tcW w:w="1559" w:type="dxa"/>
            <w:tcBorders>
              <w:top w:val="nil"/>
              <w:bottom w:val="single" w:sz="4" w:space="0" w:color="auto"/>
            </w:tcBorders>
            <w:shd w:val="clear" w:color="auto" w:fill="auto"/>
            <w:vAlign w:val="center"/>
          </w:tcPr>
          <w:p w:rsidR="00246E41" w:rsidRPr="00BF5CAB" w:rsidRDefault="002630FC" w:rsidP="00EC4586">
            <w:pPr>
              <w:pStyle w:val="TableText"/>
              <w:spacing w:before="60" w:after="60"/>
              <w:jc w:val="center"/>
              <w:rPr>
                <w:bCs/>
              </w:rPr>
            </w:pPr>
            <w:r>
              <w:rPr>
                <w:bCs/>
              </w:rPr>
              <w:t>$5.141m</w:t>
            </w:r>
          </w:p>
        </w:tc>
      </w:tr>
      <w:tr w:rsidR="00246E41" w:rsidRPr="00614B90" w:rsidTr="00FC5B81">
        <w:trPr>
          <w:cantSplit/>
          <w:trHeight w:val="198"/>
        </w:trPr>
        <w:tc>
          <w:tcPr>
            <w:tcW w:w="737" w:type="dxa"/>
            <w:vMerge w:val="restart"/>
            <w:tcBorders>
              <w:top w:val="single" w:sz="4" w:space="0" w:color="auto"/>
            </w:tcBorders>
            <w:shd w:val="clear" w:color="auto" w:fill="auto"/>
            <w:noWrap/>
            <w:tcMar>
              <w:top w:w="0" w:type="dxa"/>
              <w:left w:w="108" w:type="dxa"/>
              <w:bottom w:w="0" w:type="dxa"/>
              <w:right w:w="108" w:type="dxa"/>
            </w:tcMar>
            <w:vAlign w:val="center"/>
          </w:tcPr>
          <w:p w:rsidR="00246E41" w:rsidRPr="00BF5CAB" w:rsidRDefault="00246E41" w:rsidP="00EC4586">
            <w:pPr>
              <w:pStyle w:val="TableText"/>
              <w:spacing w:before="60" w:after="60"/>
            </w:pPr>
            <w:r w:rsidRPr="00BF5CAB">
              <w:t>20/80</w:t>
            </w:r>
          </w:p>
        </w:tc>
        <w:tc>
          <w:tcPr>
            <w:tcW w:w="2018" w:type="dxa"/>
            <w:tcBorders>
              <w:top w:val="single" w:sz="4" w:space="0" w:color="auto"/>
              <w:bottom w:val="nil"/>
            </w:tcBorders>
            <w:shd w:val="clear" w:color="auto" w:fill="auto"/>
            <w:vAlign w:val="center"/>
          </w:tcPr>
          <w:p w:rsidR="00246E41" w:rsidRPr="00BF5CAB" w:rsidRDefault="00246E41" w:rsidP="00EC4586">
            <w:pPr>
              <w:pStyle w:val="TableText"/>
              <w:spacing w:before="60" w:after="60"/>
            </w:pPr>
            <w:r>
              <w:rPr>
                <w:rFonts w:eastAsia="Arial Unicode MS"/>
              </w:rPr>
              <w:t>Share of budget</w:t>
            </w:r>
          </w:p>
        </w:tc>
        <w:tc>
          <w:tcPr>
            <w:tcW w:w="1526" w:type="dxa"/>
            <w:tcBorders>
              <w:top w:val="single" w:sz="4" w:space="0" w:color="auto"/>
              <w:bottom w:val="nil"/>
            </w:tcBorders>
            <w:shd w:val="clear" w:color="auto" w:fill="auto"/>
            <w:noWrap/>
            <w:tcMar>
              <w:top w:w="0" w:type="dxa"/>
              <w:left w:w="108" w:type="dxa"/>
              <w:bottom w:w="0" w:type="dxa"/>
              <w:right w:w="108" w:type="dxa"/>
            </w:tcMar>
            <w:vAlign w:val="center"/>
          </w:tcPr>
          <w:p w:rsidR="00246E41" w:rsidRPr="00BF5CAB" w:rsidRDefault="00246E41" w:rsidP="00EC4586">
            <w:pPr>
              <w:pStyle w:val="TableText"/>
              <w:spacing w:before="60" w:after="60"/>
              <w:jc w:val="center"/>
              <w:rPr>
                <w:rFonts w:eastAsia="Arial Unicode MS"/>
              </w:rPr>
            </w:pPr>
            <w:r>
              <w:rPr>
                <w:bCs/>
              </w:rPr>
              <w:t>53.3</w:t>
            </w:r>
            <w:r w:rsidR="002630FC">
              <w:rPr>
                <w:bCs/>
              </w:rPr>
              <w:t>%</w:t>
            </w:r>
          </w:p>
        </w:tc>
        <w:tc>
          <w:tcPr>
            <w:tcW w:w="1417" w:type="dxa"/>
            <w:tcBorders>
              <w:top w:val="single" w:sz="4" w:space="0" w:color="auto"/>
              <w:bottom w:val="nil"/>
            </w:tcBorders>
            <w:shd w:val="clear" w:color="auto" w:fill="auto"/>
            <w:noWrap/>
            <w:tcMar>
              <w:top w:w="0" w:type="dxa"/>
              <w:left w:w="108" w:type="dxa"/>
              <w:bottom w:w="0" w:type="dxa"/>
              <w:right w:w="108" w:type="dxa"/>
            </w:tcMar>
            <w:vAlign w:val="center"/>
          </w:tcPr>
          <w:p w:rsidR="00246E41" w:rsidRPr="00BF5CAB" w:rsidRDefault="00246E41" w:rsidP="00EC4586">
            <w:pPr>
              <w:pStyle w:val="TableText"/>
              <w:spacing w:before="60" w:after="60"/>
              <w:jc w:val="center"/>
              <w:rPr>
                <w:rFonts w:eastAsia="Arial Unicode MS"/>
              </w:rPr>
            </w:pPr>
            <w:r>
              <w:rPr>
                <w:bCs/>
              </w:rPr>
              <w:t>23.0</w:t>
            </w:r>
            <w:r w:rsidR="002630FC">
              <w:rPr>
                <w:bCs/>
              </w:rPr>
              <w:t>%</w:t>
            </w:r>
          </w:p>
        </w:tc>
        <w:tc>
          <w:tcPr>
            <w:tcW w:w="1560" w:type="dxa"/>
            <w:tcBorders>
              <w:top w:val="single" w:sz="4" w:space="0" w:color="auto"/>
              <w:bottom w:val="nil"/>
            </w:tcBorders>
            <w:shd w:val="clear" w:color="auto" w:fill="auto"/>
            <w:noWrap/>
            <w:tcMar>
              <w:top w:w="0" w:type="dxa"/>
              <w:left w:w="108" w:type="dxa"/>
              <w:bottom w:w="0" w:type="dxa"/>
              <w:right w:w="108" w:type="dxa"/>
            </w:tcMar>
            <w:vAlign w:val="center"/>
          </w:tcPr>
          <w:p w:rsidR="00246E41" w:rsidRPr="00BF5CAB" w:rsidRDefault="00246E41" w:rsidP="00EC4586">
            <w:pPr>
              <w:pStyle w:val="TableText"/>
              <w:spacing w:before="60" w:after="60"/>
              <w:jc w:val="center"/>
              <w:rPr>
                <w:rFonts w:eastAsia="Arial Unicode MS"/>
              </w:rPr>
            </w:pPr>
            <w:r>
              <w:rPr>
                <w:bCs/>
              </w:rPr>
              <w:t>12.2</w:t>
            </w:r>
            <w:r w:rsidR="002630FC">
              <w:rPr>
                <w:bCs/>
              </w:rPr>
              <w:t>%</w:t>
            </w:r>
          </w:p>
        </w:tc>
        <w:tc>
          <w:tcPr>
            <w:tcW w:w="1559" w:type="dxa"/>
            <w:tcBorders>
              <w:top w:val="single" w:sz="4" w:space="0" w:color="auto"/>
              <w:bottom w:val="nil"/>
            </w:tcBorders>
            <w:shd w:val="clear" w:color="auto" w:fill="auto"/>
            <w:vAlign w:val="center"/>
          </w:tcPr>
          <w:p w:rsidR="00246E41" w:rsidRPr="00BF5CAB" w:rsidRDefault="00246E41" w:rsidP="00EC4586">
            <w:pPr>
              <w:pStyle w:val="TableText"/>
              <w:spacing w:before="60" w:after="60"/>
              <w:jc w:val="center"/>
              <w:rPr>
                <w:rFonts w:eastAsia="Arial Unicode MS"/>
              </w:rPr>
            </w:pPr>
            <w:r>
              <w:rPr>
                <w:bCs/>
              </w:rPr>
              <w:t>11.5</w:t>
            </w:r>
            <w:r w:rsidR="002630FC">
              <w:rPr>
                <w:bCs/>
              </w:rPr>
              <w:t>%</w:t>
            </w:r>
          </w:p>
        </w:tc>
      </w:tr>
      <w:tr w:rsidR="00246E41" w:rsidRPr="00614B90" w:rsidTr="00FC5B81">
        <w:trPr>
          <w:cantSplit/>
          <w:trHeight w:val="198"/>
        </w:trPr>
        <w:tc>
          <w:tcPr>
            <w:tcW w:w="737" w:type="dxa"/>
            <w:vMerge/>
            <w:shd w:val="clear" w:color="auto" w:fill="auto"/>
            <w:noWrap/>
            <w:tcMar>
              <w:top w:w="0" w:type="dxa"/>
              <w:left w:w="108" w:type="dxa"/>
              <w:bottom w:w="0" w:type="dxa"/>
              <w:right w:w="108" w:type="dxa"/>
            </w:tcMar>
            <w:vAlign w:val="center"/>
          </w:tcPr>
          <w:p w:rsidR="00246E41" w:rsidRPr="00BF5CAB" w:rsidRDefault="00246E41" w:rsidP="00EC4586">
            <w:pPr>
              <w:pStyle w:val="TableText"/>
              <w:spacing w:before="60" w:after="60"/>
            </w:pPr>
          </w:p>
        </w:tc>
        <w:tc>
          <w:tcPr>
            <w:tcW w:w="2018" w:type="dxa"/>
            <w:tcBorders>
              <w:top w:val="nil"/>
              <w:bottom w:val="nil"/>
            </w:tcBorders>
            <w:shd w:val="clear" w:color="auto" w:fill="auto"/>
            <w:vAlign w:val="center"/>
          </w:tcPr>
          <w:p w:rsidR="00246E41" w:rsidRPr="00BF5CAB" w:rsidRDefault="00246E41" w:rsidP="00EC4586">
            <w:pPr>
              <w:pStyle w:val="TableText"/>
              <w:spacing w:before="60" w:after="60"/>
            </w:pPr>
            <w:r>
              <w:rPr>
                <w:rFonts w:eastAsia="Arial Unicode MS"/>
              </w:rPr>
              <w:t>Levy rate</w:t>
            </w:r>
          </w:p>
        </w:tc>
        <w:tc>
          <w:tcPr>
            <w:tcW w:w="1526" w:type="dxa"/>
            <w:tcBorders>
              <w:top w:val="nil"/>
              <w:bottom w:val="nil"/>
            </w:tcBorders>
            <w:shd w:val="clear" w:color="auto" w:fill="auto"/>
            <w:noWrap/>
            <w:tcMar>
              <w:top w:w="0" w:type="dxa"/>
              <w:left w:w="108" w:type="dxa"/>
              <w:bottom w:w="0" w:type="dxa"/>
              <w:right w:w="108" w:type="dxa"/>
            </w:tcMar>
            <w:vAlign w:val="center"/>
          </w:tcPr>
          <w:p w:rsidR="00246E41" w:rsidRPr="00BF5CAB" w:rsidRDefault="00246E41" w:rsidP="00EC4586">
            <w:pPr>
              <w:pStyle w:val="TableText"/>
              <w:spacing w:before="60" w:after="60"/>
              <w:jc w:val="center"/>
              <w:rPr>
                <w:bCs/>
              </w:rPr>
            </w:pPr>
            <w:r w:rsidRPr="00BF5CAB">
              <w:rPr>
                <w:bCs/>
              </w:rPr>
              <w:t>1.2</w:t>
            </w:r>
            <w:r>
              <w:rPr>
                <w:bCs/>
              </w:rPr>
              <w:t>6</w:t>
            </w:r>
            <w:r w:rsidR="002630FC">
              <w:rPr>
                <w:bCs/>
              </w:rPr>
              <w:t>%</w:t>
            </w:r>
          </w:p>
        </w:tc>
        <w:tc>
          <w:tcPr>
            <w:tcW w:w="1417" w:type="dxa"/>
            <w:tcBorders>
              <w:top w:val="nil"/>
              <w:bottom w:val="nil"/>
            </w:tcBorders>
            <w:shd w:val="clear" w:color="auto" w:fill="auto"/>
            <w:noWrap/>
            <w:tcMar>
              <w:top w:w="0" w:type="dxa"/>
              <w:left w:w="108" w:type="dxa"/>
              <w:bottom w:w="0" w:type="dxa"/>
              <w:right w:w="108" w:type="dxa"/>
            </w:tcMar>
            <w:vAlign w:val="center"/>
          </w:tcPr>
          <w:p w:rsidR="00246E41" w:rsidRPr="00BF5CAB" w:rsidRDefault="00246E41" w:rsidP="00EC4586">
            <w:pPr>
              <w:pStyle w:val="TableText"/>
              <w:spacing w:before="60" w:after="60"/>
              <w:jc w:val="center"/>
              <w:rPr>
                <w:bCs/>
              </w:rPr>
            </w:pPr>
            <w:r w:rsidRPr="00BF5CAB">
              <w:rPr>
                <w:bCs/>
              </w:rPr>
              <w:t>0.</w:t>
            </w:r>
            <w:r>
              <w:rPr>
                <w:bCs/>
              </w:rPr>
              <w:t>89</w:t>
            </w:r>
            <w:r w:rsidR="002630FC">
              <w:rPr>
                <w:bCs/>
              </w:rPr>
              <w:t>%</w:t>
            </w:r>
          </w:p>
        </w:tc>
        <w:tc>
          <w:tcPr>
            <w:tcW w:w="1560" w:type="dxa"/>
            <w:tcBorders>
              <w:top w:val="nil"/>
              <w:bottom w:val="nil"/>
            </w:tcBorders>
            <w:shd w:val="clear" w:color="auto" w:fill="auto"/>
            <w:noWrap/>
            <w:tcMar>
              <w:top w:w="0" w:type="dxa"/>
              <w:left w:w="108" w:type="dxa"/>
              <w:bottom w:w="0" w:type="dxa"/>
              <w:right w:w="108" w:type="dxa"/>
            </w:tcMar>
            <w:vAlign w:val="center"/>
          </w:tcPr>
          <w:p w:rsidR="00246E41" w:rsidRPr="00BF5CAB" w:rsidRDefault="00246E41" w:rsidP="00EC4586">
            <w:pPr>
              <w:pStyle w:val="TableText"/>
              <w:spacing w:before="60" w:after="60"/>
              <w:jc w:val="center"/>
              <w:rPr>
                <w:bCs/>
              </w:rPr>
            </w:pPr>
            <w:r w:rsidRPr="00BF5CAB">
              <w:rPr>
                <w:bCs/>
              </w:rPr>
              <w:t>0.</w:t>
            </w:r>
            <w:r>
              <w:rPr>
                <w:bCs/>
              </w:rPr>
              <w:t>54</w:t>
            </w:r>
            <w:r w:rsidR="002630FC">
              <w:rPr>
                <w:bCs/>
              </w:rPr>
              <w:t>%</w:t>
            </w:r>
          </w:p>
        </w:tc>
        <w:tc>
          <w:tcPr>
            <w:tcW w:w="1559" w:type="dxa"/>
            <w:tcBorders>
              <w:top w:val="nil"/>
              <w:bottom w:val="nil"/>
            </w:tcBorders>
            <w:shd w:val="clear" w:color="auto" w:fill="auto"/>
            <w:vAlign w:val="center"/>
          </w:tcPr>
          <w:p w:rsidR="00246E41" w:rsidRPr="00BF5CAB" w:rsidRDefault="00246E41" w:rsidP="00EC4586">
            <w:pPr>
              <w:pStyle w:val="TableText"/>
              <w:spacing w:before="60" w:after="60"/>
              <w:jc w:val="center"/>
              <w:rPr>
                <w:bCs/>
              </w:rPr>
            </w:pPr>
            <w:r w:rsidRPr="00BF5CAB">
              <w:rPr>
                <w:bCs/>
              </w:rPr>
              <w:t>0.</w:t>
            </w:r>
            <w:r>
              <w:rPr>
                <w:bCs/>
              </w:rPr>
              <w:t>44</w:t>
            </w:r>
            <w:r w:rsidR="002630FC">
              <w:rPr>
                <w:bCs/>
              </w:rPr>
              <w:t>%</w:t>
            </w:r>
          </w:p>
        </w:tc>
      </w:tr>
      <w:tr w:rsidR="00246E41" w:rsidRPr="00614B90" w:rsidTr="00FC5B81">
        <w:trPr>
          <w:cantSplit/>
          <w:trHeight w:val="198"/>
        </w:trPr>
        <w:tc>
          <w:tcPr>
            <w:tcW w:w="737" w:type="dxa"/>
            <w:vMerge/>
            <w:tcBorders>
              <w:bottom w:val="single" w:sz="4" w:space="0" w:color="auto"/>
            </w:tcBorders>
            <w:shd w:val="clear" w:color="auto" w:fill="auto"/>
            <w:noWrap/>
            <w:tcMar>
              <w:top w:w="0" w:type="dxa"/>
              <w:left w:w="108" w:type="dxa"/>
              <w:bottom w:w="0" w:type="dxa"/>
              <w:right w:w="108" w:type="dxa"/>
            </w:tcMar>
            <w:vAlign w:val="center"/>
          </w:tcPr>
          <w:p w:rsidR="00246E41" w:rsidRPr="00BF5CAB" w:rsidRDefault="00246E41" w:rsidP="00EC4586">
            <w:pPr>
              <w:pStyle w:val="TableText"/>
              <w:spacing w:before="60" w:after="60"/>
            </w:pPr>
          </w:p>
        </w:tc>
        <w:tc>
          <w:tcPr>
            <w:tcW w:w="2018" w:type="dxa"/>
            <w:tcBorders>
              <w:top w:val="nil"/>
              <w:bottom w:val="single" w:sz="4" w:space="0" w:color="auto"/>
            </w:tcBorders>
            <w:shd w:val="clear" w:color="auto" w:fill="auto"/>
            <w:vAlign w:val="center"/>
          </w:tcPr>
          <w:p w:rsidR="00246E41" w:rsidRDefault="00246E41" w:rsidP="00F06A8B">
            <w:pPr>
              <w:pStyle w:val="TableText"/>
              <w:spacing w:before="60" w:after="60"/>
              <w:rPr>
                <w:rFonts w:eastAsia="Arial Unicode MS"/>
              </w:rPr>
            </w:pPr>
            <w:r>
              <w:rPr>
                <w:rFonts w:eastAsia="Arial Unicode MS"/>
              </w:rPr>
              <w:t>Expected amount</w:t>
            </w:r>
          </w:p>
        </w:tc>
        <w:tc>
          <w:tcPr>
            <w:tcW w:w="1526" w:type="dxa"/>
            <w:tcBorders>
              <w:top w:val="nil"/>
              <w:bottom w:val="single" w:sz="4" w:space="0" w:color="auto"/>
            </w:tcBorders>
            <w:shd w:val="clear" w:color="auto" w:fill="auto"/>
            <w:noWrap/>
            <w:tcMar>
              <w:top w:w="0" w:type="dxa"/>
              <w:left w:w="108" w:type="dxa"/>
              <w:bottom w:w="0" w:type="dxa"/>
              <w:right w:w="108" w:type="dxa"/>
            </w:tcMar>
            <w:vAlign w:val="center"/>
          </w:tcPr>
          <w:p w:rsidR="00246E41" w:rsidRPr="00BF5CAB" w:rsidRDefault="002630FC" w:rsidP="00EC4586">
            <w:pPr>
              <w:pStyle w:val="TableText"/>
              <w:spacing w:before="60" w:after="60"/>
              <w:jc w:val="center"/>
              <w:rPr>
                <w:bCs/>
              </w:rPr>
            </w:pPr>
            <w:r>
              <w:rPr>
                <w:bCs/>
              </w:rPr>
              <w:t>$30.708m</w:t>
            </w:r>
          </w:p>
        </w:tc>
        <w:tc>
          <w:tcPr>
            <w:tcW w:w="1417" w:type="dxa"/>
            <w:tcBorders>
              <w:top w:val="nil"/>
              <w:bottom w:val="single" w:sz="4" w:space="0" w:color="auto"/>
            </w:tcBorders>
            <w:shd w:val="clear" w:color="auto" w:fill="auto"/>
            <w:noWrap/>
            <w:tcMar>
              <w:top w:w="0" w:type="dxa"/>
              <w:left w:w="108" w:type="dxa"/>
              <w:bottom w:w="0" w:type="dxa"/>
              <w:right w:w="108" w:type="dxa"/>
            </w:tcMar>
            <w:vAlign w:val="center"/>
          </w:tcPr>
          <w:p w:rsidR="00246E41" w:rsidRPr="00BF5CAB" w:rsidRDefault="002630FC" w:rsidP="00EC4586">
            <w:pPr>
              <w:pStyle w:val="TableText"/>
              <w:spacing w:before="60" w:after="60"/>
              <w:jc w:val="center"/>
              <w:rPr>
                <w:bCs/>
              </w:rPr>
            </w:pPr>
            <w:r>
              <w:rPr>
                <w:bCs/>
              </w:rPr>
              <w:t>$14.381m</w:t>
            </w:r>
          </w:p>
        </w:tc>
        <w:tc>
          <w:tcPr>
            <w:tcW w:w="1560" w:type="dxa"/>
            <w:tcBorders>
              <w:top w:val="nil"/>
              <w:bottom w:val="single" w:sz="4" w:space="0" w:color="auto"/>
            </w:tcBorders>
            <w:shd w:val="clear" w:color="auto" w:fill="auto"/>
            <w:noWrap/>
            <w:tcMar>
              <w:top w:w="0" w:type="dxa"/>
              <w:left w:w="108" w:type="dxa"/>
              <w:bottom w:w="0" w:type="dxa"/>
              <w:right w:w="108" w:type="dxa"/>
            </w:tcMar>
            <w:vAlign w:val="center"/>
          </w:tcPr>
          <w:p w:rsidR="00246E41" w:rsidRPr="00BF5CAB" w:rsidRDefault="002630FC" w:rsidP="00EC4586">
            <w:pPr>
              <w:pStyle w:val="TableText"/>
              <w:spacing w:before="60" w:after="60"/>
              <w:jc w:val="center"/>
              <w:rPr>
                <w:bCs/>
              </w:rPr>
            </w:pPr>
            <w:r>
              <w:rPr>
                <w:bCs/>
              </w:rPr>
              <w:t>$5.346m</w:t>
            </w:r>
          </w:p>
        </w:tc>
        <w:tc>
          <w:tcPr>
            <w:tcW w:w="1559" w:type="dxa"/>
            <w:tcBorders>
              <w:top w:val="nil"/>
              <w:bottom w:val="single" w:sz="4" w:space="0" w:color="auto"/>
            </w:tcBorders>
            <w:shd w:val="clear" w:color="auto" w:fill="auto"/>
            <w:vAlign w:val="center"/>
          </w:tcPr>
          <w:p w:rsidR="00246E41" w:rsidRPr="00BF5CAB" w:rsidRDefault="002630FC" w:rsidP="00EC4586">
            <w:pPr>
              <w:pStyle w:val="TableText"/>
              <w:spacing w:before="60" w:after="60"/>
              <w:jc w:val="center"/>
              <w:rPr>
                <w:bCs/>
              </w:rPr>
            </w:pPr>
            <w:r>
              <w:rPr>
                <w:bCs/>
              </w:rPr>
              <w:t>$5.655m</w:t>
            </w:r>
          </w:p>
        </w:tc>
      </w:tr>
      <w:tr w:rsidR="00246E41" w:rsidRPr="00614B90" w:rsidTr="00FC5B81">
        <w:trPr>
          <w:cantSplit/>
          <w:trHeight w:val="198"/>
        </w:trPr>
        <w:tc>
          <w:tcPr>
            <w:tcW w:w="737" w:type="dxa"/>
            <w:vMerge w:val="restart"/>
            <w:tcBorders>
              <w:top w:val="single" w:sz="4" w:space="0" w:color="auto"/>
            </w:tcBorders>
            <w:shd w:val="clear" w:color="auto" w:fill="auto"/>
            <w:noWrap/>
            <w:tcMar>
              <w:top w:w="0" w:type="dxa"/>
              <w:left w:w="108" w:type="dxa"/>
              <w:bottom w:w="0" w:type="dxa"/>
              <w:right w:w="108" w:type="dxa"/>
            </w:tcMar>
            <w:vAlign w:val="center"/>
          </w:tcPr>
          <w:p w:rsidR="00246E41" w:rsidRPr="00BF5CAB" w:rsidRDefault="00246E41" w:rsidP="00EC4586">
            <w:pPr>
              <w:pStyle w:val="TableText"/>
              <w:spacing w:before="60" w:after="60"/>
            </w:pPr>
            <w:r>
              <w:rPr>
                <w:rFonts w:eastAsia="Arial Unicode MS"/>
              </w:rPr>
              <w:t>30/70</w:t>
            </w:r>
          </w:p>
        </w:tc>
        <w:tc>
          <w:tcPr>
            <w:tcW w:w="2018" w:type="dxa"/>
            <w:tcBorders>
              <w:top w:val="single" w:sz="4" w:space="0" w:color="auto"/>
              <w:bottom w:val="nil"/>
            </w:tcBorders>
            <w:shd w:val="clear" w:color="auto" w:fill="auto"/>
            <w:vAlign w:val="center"/>
          </w:tcPr>
          <w:p w:rsidR="00246E41" w:rsidRPr="00BF5CAB" w:rsidRDefault="00246E41" w:rsidP="00EC4586">
            <w:pPr>
              <w:pStyle w:val="TableText"/>
              <w:spacing w:before="60" w:after="60"/>
            </w:pPr>
            <w:r>
              <w:rPr>
                <w:rFonts w:eastAsia="Arial Unicode MS"/>
              </w:rPr>
              <w:t>Share of budget</w:t>
            </w:r>
          </w:p>
        </w:tc>
        <w:tc>
          <w:tcPr>
            <w:tcW w:w="1526" w:type="dxa"/>
            <w:tcBorders>
              <w:top w:val="single" w:sz="4" w:space="0" w:color="auto"/>
              <w:bottom w:val="nil"/>
            </w:tcBorders>
            <w:shd w:val="clear" w:color="auto" w:fill="auto"/>
            <w:noWrap/>
            <w:tcMar>
              <w:top w:w="0" w:type="dxa"/>
              <w:left w:w="108" w:type="dxa"/>
              <w:bottom w:w="0" w:type="dxa"/>
              <w:right w:w="108" w:type="dxa"/>
            </w:tcMar>
            <w:vAlign w:val="center"/>
          </w:tcPr>
          <w:p w:rsidR="00246E41" w:rsidRPr="00BF5CAB" w:rsidRDefault="00246E41" w:rsidP="00EC4586">
            <w:pPr>
              <w:pStyle w:val="TableText"/>
              <w:spacing w:before="60" w:after="60"/>
              <w:jc w:val="center"/>
              <w:rPr>
                <w:rFonts w:eastAsia="Arial Unicode MS"/>
              </w:rPr>
            </w:pPr>
            <w:r>
              <w:rPr>
                <w:bCs/>
              </w:rPr>
              <w:t>51.6</w:t>
            </w:r>
            <w:r w:rsidR="002630FC">
              <w:rPr>
                <w:bCs/>
              </w:rPr>
              <w:t>%</w:t>
            </w:r>
          </w:p>
        </w:tc>
        <w:tc>
          <w:tcPr>
            <w:tcW w:w="1417" w:type="dxa"/>
            <w:tcBorders>
              <w:top w:val="single" w:sz="4" w:space="0" w:color="auto"/>
              <w:bottom w:val="nil"/>
            </w:tcBorders>
            <w:shd w:val="clear" w:color="auto" w:fill="auto"/>
            <w:noWrap/>
            <w:tcMar>
              <w:top w:w="0" w:type="dxa"/>
              <w:left w:w="108" w:type="dxa"/>
              <w:bottom w:w="0" w:type="dxa"/>
              <w:right w:w="108" w:type="dxa"/>
            </w:tcMar>
            <w:vAlign w:val="center"/>
          </w:tcPr>
          <w:p w:rsidR="00246E41" w:rsidRPr="00BF5CAB" w:rsidRDefault="00246E41" w:rsidP="00EC4586">
            <w:pPr>
              <w:pStyle w:val="TableText"/>
              <w:spacing w:before="60" w:after="60"/>
              <w:jc w:val="center"/>
              <w:rPr>
                <w:rFonts w:eastAsia="Arial Unicode MS"/>
              </w:rPr>
            </w:pPr>
            <w:r>
              <w:rPr>
                <w:bCs/>
              </w:rPr>
              <w:t>23.4</w:t>
            </w:r>
            <w:r w:rsidR="002630FC">
              <w:rPr>
                <w:bCs/>
              </w:rPr>
              <w:t>%</w:t>
            </w:r>
          </w:p>
        </w:tc>
        <w:tc>
          <w:tcPr>
            <w:tcW w:w="1560" w:type="dxa"/>
            <w:tcBorders>
              <w:top w:val="single" w:sz="4" w:space="0" w:color="auto"/>
              <w:bottom w:val="nil"/>
            </w:tcBorders>
            <w:shd w:val="clear" w:color="auto" w:fill="auto"/>
            <w:noWrap/>
            <w:tcMar>
              <w:top w:w="0" w:type="dxa"/>
              <w:left w:w="108" w:type="dxa"/>
              <w:bottom w:w="0" w:type="dxa"/>
              <w:right w:w="108" w:type="dxa"/>
            </w:tcMar>
            <w:vAlign w:val="center"/>
          </w:tcPr>
          <w:p w:rsidR="00246E41" w:rsidRPr="00BF5CAB" w:rsidRDefault="00246E41" w:rsidP="00EC4586">
            <w:pPr>
              <w:pStyle w:val="TableText"/>
              <w:spacing w:before="60" w:after="60"/>
              <w:jc w:val="center"/>
              <w:rPr>
                <w:rFonts w:eastAsia="Arial Unicode MS"/>
              </w:rPr>
            </w:pPr>
            <w:r>
              <w:rPr>
                <w:bCs/>
              </w:rPr>
              <w:t>12.6</w:t>
            </w:r>
            <w:r w:rsidR="002630FC">
              <w:rPr>
                <w:bCs/>
              </w:rPr>
              <w:t>%</w:t>
            </w:r>
          </w:p>
        </w:tc>
        <w:tc>
          <w:tcPr>
            <w:tcW w:w="1559" w:type="dxa"/>
            <w:tcBorders>
              <w:top w:val="single" w:sz="4" w:space="0" w:color="auto"/>
              <w:bottom w:val="nil"/>
            </w:tcBorders>
            <w:shd w:val="clear" w:color="auto" w:fill="auto"/>
            <w:vAlign w:val="center"/>
          </w:tcPr>
          <w:p w:rsidR="00246E41" w:rsidRPr="00BF5CAB" w:rsidRDefault="00246E41" w:rsidP="00EC4586">
            <w:pPr>
              <w:pStyle w:val="TableText"/>
              <w:spacing w:before="60" w:after="60"/>
              <w:jc w:val="center"/>
              <w:rPr>
                <w:rFonts w:eastAsia="Arial Unicode MS"/>
              </w:rPr>
            </w:pPr>
            <w:r>
              <w:rPr>
                <w:bCs/>
              </w:rPr>
              <w:t>12.4</w:t>
            </w:r>
            <w:r w:rsidR="002630FC">
              <w:rPr>
                <w:bCs/>
              </w:rPr>
              <w:t>%</w:t>
            </w:r>
          </w:p>
        </w:tc>
      </w:tr>
      <w:tr w:rsidR="00246E41" w:rsidRPr="00614B90" w:rsidTr="00FC5B81">
        <w:trPr>
          <w:cantSplit/>
          <w:trHeight w:val="198"/>
        </w:trPr>
        <w:tc>
          <w:tcPr>
            <w:tcW w:w="737" w:type="dxa"/>
            <w:vMerge/>
            <w:shd w:val="clear" w:color="auto" w:fill="auto"/>
            <w:noWrap/>
            <w:tcMar>
              <w:top w:w="0" w:type="dxa"/>
              <w:left w:w="108" w:type="dxa"/>
              <w:bottom w:w="0" w:type="dxa"/>
              <w:right w:w="108" w:type="dxa"/>
            </w:tcMar>
            <w:vAlign w:val="center"/>
          </w:tcPr>
          <w:p w:rsidR="00246E41" w:rsidRPr="00BF5CAB" w:rsidRDefault="00246E41" w:rsidP="00EC4586">
            <w:pPr>
              <w:pStyle w:val="TableText"/>
              <w:spacing w:before="60" w:after="60"/>
            </w:pPr>
          </w:p>
        </w:tc>
        <w:tc>
          <w:tcPr>
            <w:tcW w:w="2018" w:type="dxa"/>
            <w:tcBorders>
              <w:top w:val="nil"/>
              <w:bottom w:val="nil"/>
            </w:tcBorders>
            <w:shd w:val="clear" w:color="auto" w:fill="auto"/>
            <w:vAlign w:val="center"/>
          </w:tcPr>
          <w:p w:rsidR="00246E41" w:rsidRPr="00BF5CAB" w:rsidRDefault="00246E41" w:rsidP="00EC4586">
            <w:pPr>
              <w:pStyle w:val="TableText"/>
              <w:spacing w:before="60" w:after="60"/>
            </w:pPr>
            <w:r>
              <w:rPr>
                <w:rFonts w:eastAsia="Arial Unicode MS"/>
              </w:rPr>
              <w:t>Levy rate</w:t>
            </w:r>
          </w:p>
        </w:tc>
        <w:tc>
          <w:tcPr>
            <w:tcW w:w="1526" w:type="dxa"/>
            <w:tcBorders>
              <w:top w:val="nil"/>
              <w:bottom w:val="nil"/>
            </w:tcBorders>
            <w:shd w:val="clear" w:color="auto" w:fill="auto"/>
            <w:noWrap/>
            <w:tcMar>
              <w:top w:w="0" w:type="dxa"/>
              <w:left w:w="108" w:type="dxa"/>
              <w:bottom w:w="0" w:type="dxa"/>
              <w:right w:w="108" w:type="dxa"/>
            </w:tcMar>
            <w:vAlign w:val="center"/>
          </w:tcPr>
          <w:p w:rsidR="00246E41" w:rsidRPr="00BF5CAB" w:rsidRDefault="00246E41" w:rsidP="00EC4586">
            <w:pPr>
              <w:pStyle w:val="TableText"/>
              <w:spacing w:before="60" w:after="60"/>
              <w:jc w:val="center"/>
              <w:rPr>
                <w:bCs/>
              </w:rPr>
            </w:pPr>
            <w:r w:rsidRPr="00BF5CAB">
              <w:rPr>
                <w:bCs/>
              </w:rPr>
              <w:t>1.2</w:t>
            </w:r>
            <w:r>
              <w:rPr>
                <w:bCs/>
              </w:rPr>
              <w:t>3</w:t>
            </w:r>
            <w:r w:rsidR="002630FC">
              <w:rPr>
                <w:bCs/>
              </w:rPr>
              <w:t>%</w:t>
            </w:r>
          </w:p>
        </w:tc>
        <w:tc>
          <w:tcPr>
            <w:tcW w:w="1417" w:type="dxa"/>
            <w:tcBorders>
              <w:top w:val="nil"/>
              <w:bottom w:val="nil"/>
            </w:tcBorders>
            <w:shd w:val="clear" w:color="auto" w:fill="auto"/>
            <w:noWrap/>
            <w:tcMar>
              <w:top w:w="0" w:type="dxa"/>
              <w:left w:w="108" w:type="dxa"/>
              <w:bottom w:w="0" w:type="dxa"/>
              <w:right w:w="108" w:type="dxa"/>
            </w:tcMar>
            <w:vAlign w:val="center"/>
          </w:tcPr>
          <w:p w:rsidR="00246E41" w:rsidRPr="00BF5CAB" w:rsidRDefault="00246E41" w:rsidP="00EC4586">
            <w:pPr>
              <w:pStyle w:val="TableText"/>
              <w:spacing w:before="60" w:after="60"/>
              <w:jc w:val="center"/>
              <w:rPr>
                <w:bCs/>
              </w:rPr>
            </w:pPr>
            <w:r w:rsidRPr="00BF5CAB">
              <w:rPr>
                <w:bCs/>
              </w:rPr>
              <w:t>0.</w:t>
            </w:r>
            <w:r>
              <w:rPr>
                <w:bCs/>
              </w:rPr>
              <w:t>90</w:t>
            </w:r>
            <w:r w:rsidR="002630FC">
              <w:rPr>
                <w:bCs/>
              </w:rPr>
              <w:t>%</w:t>
            </w:r>
          </w:p>
        </w:tc>
        <w:tc>
          <w:tcPr>
            <w:tcW w:w="1560" w:type="dxa"/>
            <w:tcBorders>
              <w:top w:val="nil"/>
              <w:bottom w:val="nil"/>
            </w:tcBorders>
            <w:shd w:val="clear" w:color="auto" w:fill="auto"/>
            <w:noWrap/>
            <w:tcMar>
              <w:top w:w="0" w:type="dxa"/>
              <w:left w:w="108" w:type="dxa"/>
              <w:bottom w:w="0" w:type="dxa"/>
              <w:right w:w="108" w:type="dxa"/>
            </w:tcMar>
            <w:vAlign w:val="center"/>
          </w:tcPr>
          <w:p w:rsidR="00246E41" w:rsidRPr="00BF5CAB" w:rsidRDefault="00246E41" w:rsidP="00EC4586">
            <w:pPr>
              <w:pStyle w:val="TableText"/>
              <w:spacing w:before="60" w:after="60"/>
              <w:jc w:val="center"/>
              <w:rPr>
                <w:bCs/>
              </w:rPr>
            </w:pPr>
            <w:r w:rsidRPr="00BF5CAB">
              <w:rPr>
                <w:bCs/>
              </w:rPr>
              <w:t>0.</w:t>
            </w:r>
            <w:r>
              <w:rPr>
                <w:bCs/>
              </w:rPr>
              <w:t>57</w:t>
            </w:r>
            <w:r w:rsidR="002630FC">
              <w:rPr>
                <w:bCs/>
              </w:rPr>
              <w:t>%</w:t>
            </w:r>
          </w:p>
        </w:tc>
        <w:tc>
          <w:tcPr>
            <w:tcW w:w="1559" w:type="dxa"/>
            <w:tcBorders>
              <w:top w:val="nil"/>
              <w:bottom w:val="nil"/>
            </w:tcBorders>
            <w:shd w:val="clear" w:color="auto" w:fill="auto"/>
            <w:vAlign w:val="center"/>
          </w:tcPr>
          <w:p w:rsidR="00246E41" w:rsidRPr="00BF5CAB" w:rsidRDefault="00246E41" w:rsidP="00EC4586">
            <w:pPr>
              <w:pStyle w:val="TableText"/>
              <w:spacing w:before="60" w:after="60"/>
              <w:jc w:val="center"/>
              <w:rPr>
                <w:bCs/>
              </w:rPr>
            </w:pPr>
            <w:r w:rsidRPr="00BF5CAB">
              <w:rPr>
                <w:bCs/>
              </w:rPr>
              <w:t>0.4</w:t>
            </w:r>
            <w:r>
              <w:rPr>
                <w:bCs/>
              </w:rPr>
              <w:t>8</w:t>
            </w:r>
            <w:r w:rsidR="002630FC">
              <w:rPr>
                <w:bCs/>
              </w:rPr>
              <w:t>%</w:t>
            </w:r>
          </w:p>
        </w:tc>
      </w:tr>
      <w:tr w:rsidR="00246E41" w:rsidRPr="00614B90" w:rsidTr="00FC5B81">
        <w:trPr>
          <w:cantSplit/>
          <w:trHeight w:val="198"/>
        </w:trPr>
        <w:tc>
          <w:tcPr>
            <w:tcW w:w="737" w:type="dxa"/>
            <w:vMerge/>
            <w:tcBorders>
              <w:bottom w:val="single" w:sz="12" w:space="0" w:color="auto"/>
            </w:tcBorders>
            <w:shd w:val="clear" w:color="auto" w:fill="auto"/>
            <w:noWrap/>
            <w:tcMar>
              <w:top w:w="0" w:type="dxa"/>
              <w:left w:w="108" w:type="dxa"/>
              <w:bottom w:w="0" w:type="dxa"/>
              <w:right w:w="108" w:type="dxa"/>
            </w:tcMar>
            <w:vAlign w:val="center"/>
          </w:tcPr>
          <w:p w:rsidR="00246E41" w:rsidRPr="00BF5CAB" w:rsidRDefault="00246E41" w:rsidP="00EC4586">
            <w:pPr>
              <w:pStyle w:val="TableText"/>
              <w:spacing w:before="60" w:after="60"/>
            </w:pPr>
          </w:p>
        </w:tc>
        <w:tc>
          <w:tcPr>
            <w:tcW w:w="2018" w:type="dxa"/>
            <w:tcBorders>
              <w:top w:val="nil"/>
              <w:bottom w:val="single" w:sz="12" w:space="0" w:color="auto"/>
            </w:tcBorders>
            <w:shd w:val="clear" w:color="auto" w:fill="auto"/>
            <w:vAlign w:val="center"/>
          </w:tcPr>
          <w:p w:rsidR="00246E41" w:rsidRDefault="00246E41" w:rsidP="00F06A8B">
            <w:pPr>
              <w:pStyle w:val="TableText"/>
              <w:spacing w:before="60" w:after="60"/>
              <w:rPr>
                <w:rFonts w:eastAsia="Arial Unicode MS"/>
              </w:rPr>
            </w:pPr>
            <w:r>
              <w:rPr>
                <w:rFonts w:eastAsia="Arial Unicode MS"/>
              </w:rPr>
              <w:t>Expected amount</w:t>
            </w:r>
          </w:p>
        </w:tc>
        <w:tc>
          <w:tcPr>
            <w:tcW w:w="1526" w:type="dxa"/>
            <w:tcBorders>
              <w:top w:val="nil"/>
              <w:bottom w:val="single" w:sz="12" w:space="0" w:color="auto"/>
            </w:tcBorders>
            <w:shd w:val="clear" w:color="auto" w:fill="auto"/>
            <w:noWrap/>
            <w:tcMar>
              <w:top w:w="0" w:type="dxa"/>
              <w:left w:w="108" w:type="dxa"/>
              <w:bottom w:w="0" w:type="dxa"/>
              <w:right w:w="108" w:type="dxa"/>
            </w:tcMar>
            <w:vAlign w:val="center"/>
          </w:tcPr>
          <w:p w:rsidR="00246E41" w:rsidRPr="00BF5CAB" w:rsidRDefault="002630FC" w:rsidP="00EC4586">
            <w:pPr>
              <w:pStyle w:val="TableText"/>
              <w:spacing w:before="60" w:after="60"/>
              <w:jc w:val="center"/>
              <w:rPr>
                <w:bCs/>
              </w:rPr>
            </w:pPr>
            <w:r>
              <w:rPr>
                <w:bCs/>
              </w:rPr>
              <w:t>$29.977m</w:t>
            </w:r>
          </w:p>
        </w:tc>
        <w:tc>
          <w:tcPr>
            <w:tcW w:w="1417" w:type="dxa"/>
            <w:tcBorders>
              <w:top w:val="nil"/>
              <w:bottom w:val="single" w:sz="12" w:space="0" w:color="auto"/>
            </w:tcBorders>
            <w:shd w:val="clear" w:color="auto" w:fill="auto"/>
            <w:noWrap/>
            <w:tcMar>
              <w:top w:w="0" w:type="dxa"/>
              <w:left w:w="108" w:type="dxa"/>
              <w:bottom w:w="0" w:type="dxa"/>
              <w:right w:w="108" w:type="dxa"/>
            </w:tcMar>
            <w:vAlign w:val="center"/>
          </w:tcPr>
          <w:p w:rsidR="00246E41" w:rsidRPr="00BF5CAB" w:rsidRDefault="002630FC" w:rsidP="00EC4586">
            <w:pPr>
              <w:pStyle w:val="TableText"/>
              <w:spacing w:before="60" w:after="60"/>
              <w:jc w:val="center"/>
              <w:rPr>
                <w:bCs/>
              </w:rPr>
            </w:pPr>
            <w:r>
              <w:rPr>
                <w:bCs/>
              </w:rPr>
              <w:t>$14.543m</w:t>
            </w:r>
          </w:p>
        </w:tc>
        <w:tc>
          <w:tcPr>
            <w:tcW w:w="1560" w:type="dxa"/>
            <w:tcBorders>
              <w:top w:val="nil"/>
              <w:bottom w:val="single" w:sz="12" w:space="0" w:color="auto"/>
            </w:tcBorders>
            <w:shd w:val="clear" w:color="auto" w:fill="auto"/>
            <w:noWrap/>
            <w:tcMar>
              <w:top w:w="0" w:type="dxa"/>
              <w:left w:w="108" w:type="dxa"/>
              <w:bottom w:w="0" w:type="dxa"/>
              <w:right w:w="108" w:type="dxa"/>
            </w:tcMar>
            <w:vAlign w:val="center"/>
          </w:tcPr>
          <w:p w:rsidR="00246E41" w:rsidRPr="00BF5CAB" w:rsidRDefault="002630FC" w:rsidP="00EC4586">
            <w:pPr>
              <w:pStyle w:val="TableText"/>
              <w:spacing w:before="60" w:after="60"/>
              <w:jc w:val="center"/>
              <w:rPr>
                <w:bCs/>
              </w:rPr>
            </w:pPr>
            <w:r>
              <w:rPr>
                <w:bCs/>
              </w:rPr>
              <w:t>$5.643m</w:t>
            </w:r>
          </w:p>
        </w:tc>
        <w:tc>
          <w:tcPr>
            <w:tcW w:w="1559" w:type="dxa"/>
            <w:tcBorders>
              <w:top w:val="nil"/>
              <w:bottom w:val="single" w:sz="12" w:space="0" w:color="auto"/>
            </w:tcBorders>
            <w:shd w:val="clear" w:color="auto" w:fill="auto"/>
            <w:vAlign w:val="center"/>
          </w:tcPr>
          <w:p w:rsidR="00246E41" w:rsidRPr="00BF5CAB" w:rsidRDefault="002630FC" w:rsidP="00EC4586">
            <w:pPr>
              <w:pStyle w:val="TableText"/>
              <w:spacing w:before="60" w:after="60"/>
              <w:jc w:val="center"/>
              <w:rPr>
                <w:bCs/>
              </w:rPr>
            </w:pPr>
            <w:r>
              <w:rPr>
                <w:bCs/>
              </w:rPr>
              <w:t>$6.169m</w:t>
            </w:r>
          </w:p>
        </w:tc>
      </w:tr>
      <w:tr w:rsidR="006500D3" w:rsidRPr="002630FC" w:rsidTr="00FC5B81">
        <w:trPr>
          <w:cantSplit/>
          <w:trHeight w:val="198"/>
        </w:trPr>
        <w:tc>
          <w:tcPr>
            <w:tcW w:w="2755" w:type="dxa"/>
            <w:gridSpan w:val="2"/>
            <w:tcBorders>
              <w:top w:val="single" w:sz="12" w:space="0" w:color="auto"/>
              <w:bottom w:val="nil"/>
            </w:tcBorders>
            <w:shd w:val="clear" w:color="auto" w:fill="auto"/>
            <w:noWrap/>
            <w:tcMar>
              <w:top w:w="0" w:type="dxa"/>
              <w:left w:w="108" w:type="dxa"/>
              <w:bottom w:w="0" w:type="dxa"/>
              <w:right w:w="108" w:type="dxa"/>
            </w:tcMar>
            <w:vAlign w:val="center"/>
          </w:tcPr>
          <w:p w:rsidR="006500D3" w:rsidRPr="002630FC" w:rsidRDefault="006500D3" w:rsidP="00EC4586">
            <w:pPr>
              <w:pStyle w:val="TableText"/>
              <w:spacing w:before="60" w:after="60"/>
              <w:jc w:val="center"/>
              <w:rPr>
                <w:b/>
              </w:rPr>
            </w:pPr>
            <w:r w:rsidRPr="002630FC">
              <w:rPr>
                <w:b/>
              </w:rPr>
              <w:t xml:space="preserve">Share of current </w:t>
            </w:r>
            <w:r w:rsidR="008F7B51">
              <w:rPr>
                <w:b/>
              </w:rPr>
              <w:t xml:space="preserve">(2013/14 to 2015/16) </w:t>
            </w:r>
            <w:r w:rsidRPr="002630FC">
              <w:rPr>
                <w:b/>
              </w:rPr>
              <w:t>budget</w:t>
            </w:r>
            <w:r w:rsidR="008F7B51">
              <w:rPr>
                <w:b/>
              </w:rPr>
              <w:t xml:space="preserve"> </w:t>
            </w:r>
          </w:p>
        </w:tc>
        <w:tc>
          <w:tcPr>
            <w:tcW w:w="1526" w:type="dxa"/>
            <w:tcBorders>
              <w:top w:val="single" w:sz="12" w:space="0" w:color="auto"/>
              <w:bottom w:val="nil"/>
            </w:tcBorders>
            <w:shd w:val="clear" w:color="auto" w:fill="auto"/>
            <w:noWrap/>
            <w:tcMar>
              <w:top w:w="0" w:type="dxa"/>
              <w:left w:w="108" w:type="dxa"/>
              <w:bottom w:w="0" w:type="dxa"/>
              <w:right w:w="108" w:type="dxa"/>
            </w:tcMar>
            <w:vAlign w:val="center"/>
          </w:tcPr>
          <w:p w:rsidR="006500D3" w:rsidRPr="002630FC" w:rsidRDefault="006500D3" w:rsidP="00EC4586">
            <w:pPr>
              <w:pStyle w:val="TableText"/>
              <w:spacing w:before="60" w:after="60"/>
              <w:jc w:val="center"/>
              <w:rPr>
                <w:b/>
                <w:bCs/>
              </w:rPr>
            </w:pPr>
            <w:r w:rsidRPr="002630FC">
              <w:rPr>
                <w:b/>
                <w:bCs/>
              </w:rPr>
              <w:t>61.9</w:t>
            </w:r>
            <w:r w:rsidR="002630FC" w:rsidRPr="002630FC">
              <w:rPr>
                <w:b/>
                <w:bCs/>
              </w:rPr>
              <w:t>%</w:t>
            </w:r>
          </w:p>
        </w:tc>
        <w:tc>
          <w:tcPr>
            <w:tcW w:w="1417" w:type="dxa"/>
            <w:tcBorders>
              <w:top w:val="single" w:sz="12" w:space="0" w:color="auto"/>
              <w:bottom w:val="nil"/>
            </w:tcBorders>
            <w:shd w:val="clear" w:color="auto" w:fill="auto"/>
            <w:noWrap/>
            <w:tcMar>
              <w:top w:w="0" w:type="dxa"/>
              <w:left w:w="108" w:type="dxa"/>
              <w:bottom w:w="0" w:type="dxa"/>
              <w:right w:w="108" w:type="dxa"/>
            </w:tcMar>
            <w:vAlign w:val="center"/>
          </w:tcPr>
          <w:p w:rsidR="006500D3" w:rsidRPr="002630FC" w:rsidRDefault="006500D3" w:rsidP="00EC4586">
            <w:pPr>
              <w:pStyle w:val="TableText"/>
              <w:spacing w:before="60" w:after="60"/>
              <w:jc w:val="center"/>
              <w:rPr>
                <w:b/>
                <w:bCs/>
              </w:rPr>
            </w:pPr>
            <w:r w:rsidRPr="002630FC">
              <w:rPr>
                <w:b/>
                <w:bCs/>
              </w:rPr>
              <w:t>20.9</w:t>
            </w:r>
            <w:r w:rsidR="002630FC" w:rsidRPr="002630FC">
              <w:rPr>
                <w:b/>
                <w:bCs/>
              </w:rPr>
              <w:t>%</w:t>
            </w:r>
          </w:p>
        </w:tc>
        <w:tc>
          <w:tcPr>
            <w:tcW w:w="1560" w:type="dxa"/>
            <w:tcBorders>
              <w:top w:val="single" w:sz="12" w:space="0" w:color="auto"/>
              <w:bottom w:val="nil"/>
            </w:tcBorders>
            <w:shd w:val="clear" w:color="auto" w:fill="auto"/>
            <w:noWrap/>
            <w:tcMar>
              <w:top w:w="0" w:type="dxa"/>
              <w:left w:w="108" w:type="dxa"/>
              <w:bottom w:w="0" w:type="dxa"/>
              <w:right w:w="108" w:type="dxa"/>
            </w:tcMar>
            <w:vAlign w:val="center"/>
          </w:tcPr>
          <w:p w:rsidR="006500D3" w:rsidRPr="002630FC" w:rsidRDefault="006500D3" w:rsidP="00EC4586">
            <w:pPr>
              <w:pStyle w:val="TableText"/>
              <w:spacing w:before="60" w:after="60"/>
              <w:jc w:val="center"/>
              <w:rPr>
                <w:b/>
                <w:bCs/>
              </w:rPr>
            </w:pPr>
            <w:r w:rsidRPr="002630FC">
              <w:rPr>
                <w:b/>
                <w:bCs/>
              </w:rPr>
              <w:t>9.9</w:t>
            </w:r>
            <w:r w:rsidR="002630FC" w:rsidRPr="002630FC">
              <w:rPr>
                <w:b/>
                <w:bCs/>
              </w:rPr>
              <w:t>%</w:t>
            </w:r>
          </w:p>
        </w:tc>
        <w:tc>
          <w:tcPr>
            <w:tcW w:w="1559" w:type="dxa"/>
            <w:tcBorders>
              <w:top w:val="single" w:sz="12" w:space="0" w:color="auto"/>
              <w:bottom w:val="nil"/>
            </w:tcBorders>
            <w:shd w:val="clear" w:color="auto" w:fill="auto"/>
            <w:vAlign w:val="center"/>
          </w:tcPr>
          <w:p w:rsidR="006500D3" w:rsidRPr="002630FC" w:rsidRDefault="006500D3" w:rsidP="00EC4586">
            <w:pPr>
              <w:pStyle w:val="TableText"/>
              <w:spacing w:before="60" w:after="60"/>
              <w:jc w:val="center"/>
              <w:rPr>
                <w:b/>
                <w:bCs/>
              </w:rPr>
            </w:pPr>
            <w:r w:rsidRPr="002630FC">
              <w:rPr>
                <w:b/>
                <w:bCs/>
              </w:rPr>
              <w:t>7.3</w:t>
            </w:r>
            <w:r w:rsidR="002630FC" w:rsidRPr="002630FC">
              <w:rPr>
                <w:b/>
                <w:bCs/>
              </w:rPr>
              <w:t>%</w:t>
            </w:r>
          </w:p>
        </w:tc>
      </w:tr>
      <w:tr w:rsidR="006500D3" w:rsidRPr="002630FC" w:rsidTr="00FC5B81">
        <w:trPr>
          <w:cantSplit/>
          <w:trHeight w:val="198"/>
        </w:trPr>
        <w:tc>
          <w:tcPr>
            <w:tcW w:w="2755" w:type="dxa"/>
            <w:gridSpan w:val="2"/>
            <w:tcBorders>
              <w:top w:val="nil"/>
              <w:bottom w:val="nil"/>
            </w:tcBorders>
            <w:shd w:val="clear" w:color="auto" w:fill="auto"/>
            <w:noWrap/>
            <w:tcMar>
              <w:top w:w="0" w:type="dxa"/>
              <w:left w:w="108" w:type="dxa"/>
              <w:bottom w:w="0" w:type="dxa"/>
              <w:right w:w="108" w:type="dxa"/>
            </w:tcMar>
            <w:vAlign w:val="center"/>
          </w:tcPr>
          <w:p w:rsidR="006500D3" w:rsidRPr="002630FC" w:rsidRDefault="006500D3" w:rsidP="00246E41">
            <w:pPr>
              <w:pStyle w:val="TableText"/>
              <w:spacing w:before="60" w:after="60"/>
              <w:jc w:val="center"/>
              <w:rPr>
                <w:b/>
                <w:bCs/>
              </w:rPr>
            </w:pPr>
            <w:r w:rsidRPr="002630FC">
              <w:rPr>
                <w:b/>
                <w:bCs/>
              </w:rPr>
              <w:t>Current levy rate</w:t>
            </w:r>
          </w:p>
        </w:tc>
        <w:tc>
          <w:tcPr>
            <w:tcW w:w="1526" w:type="dxa"/>
            <w:tcBorders>
              <w:top w:val="nil"/>
              <w:bottom w:val="nil"/>
            </w:tcBorders>
            <w:shd w:val="clear" w:color="auto" w:fill="auto"/>
            <w:vAlign w:val="center"/>
          </w:tcPr>
          <w:p w:rsidR="006500D3" w:rsidRPr="002630FC" w:rsidRDefault="006500D3" w:rsidP="00EC4586">
            <w:pPr>
              <w:pStyle w:val="TableText"/>
              <w:spacing w:before="60" w:after="60"/>
              <w:jc w:val="center"/>
              <w:rPr>
                <w:b/>
                <w:bCs/>
              </w:rPr>
            </w:pPr>
            <w:r w:rsidRPr="002630FC">
              <w:rPr>
                <w:b/>
                <w:bCs/>
              </w:rPr>
              <w:t>1.31</w:t>
            </w:r>
            <w:r w:rsidR="002630FC" w:rsidRPr="002630FC">
              <w:rPr>
                <w:b/>
                <w:bCs/>
              </w:rPr>
              <w:t>%</w:t>
            </w:r>
          </w:p>
        </w:tc>
        <w:tc>
          <w:tcPr>
            <w:tcW w:w="1417" w:type="dxa"/>
            <w:tcBorders>
              <w:top w:val="nil"/>
              <w:bottom w:val="nil"/>
            </w:tcBorders>
            <w:shd w:val="clear" w:color="auto" w:fill="auto"/>
            <w:vAlign w:val="center"/>
          </w:tcPr>
          <w:p w:rsidR="006500D3" w:rsidRPr="002630FC" w:rsidRDefault="006500D3" w:rsidP="00EC4586">
            <w:pPr>
              <w:pStyle w:val="TableText"/>
              <w:spacing w:before="60" w:after="60"/>
              <w:jc w:val="center"/>
              <w:rPr>
                <w:b/>
                <w:bCs/>
              </w:rPr>
            </w:pPr>
            <w:r w:rsidRPr="002630FC">
              <w:rPr>
                <w:b/>
                <w:bCs/>
              </w:rPr>
              <w:t>0.74</w:t>
            </w:r>
            <w:r w:rsidR="002630FC" w:rsidRPr="002630FC">
              <w:rPr>
                <w:b/>
                <w:bCs/>
              </w:rPr>
              <w:t>%</w:t>
            </w:r>
          </w:p>
        </w:tc>
        <w:tc>
          <w:tcPr>
            <w:tcW w:w="1560" w:type="dxa"/>
            <w:tcBorders>
              <w:top w:val="nil"/>
              <w:bottom w:val="nil"/>
            </w:tcBorders>
            <w:shd w:val="clear" w:color="auto" w:fill="auto"/>
            <w:vAlign w:val="center"/>
          </w:tcPr>
          <w:p w:rsidR="006500D3" w:rsidRPr="002630FC" w:rsidRDefault="006500D3" w:rsidP="00EC4586">
            <w:pPr>
              <w:pStyle w:val="TableText"/>
              <w:spacing w:before="60" w:after="60"/>
              <w:jc w:val="center"/>
              <w:rPr>
                <w:b/>
                <w:bCs/>
              </w:rPr>
            </w:pPr>
            <w:r w:rsidRPr="002630FC">
              <w:rPr>
                <w:b/>
                <w:bCs/>
              </w:rPr>
              <w:t>0.60</w:t>
            </w:r>
            <w:r w:rsidR="002630FC" w:rsidRPr="002630FC">
              <w:rPr>
                <w:b/>
                <w:bCs/>
              </w:rPr>
              <w:t>%</w:t>
            </w:r>
          </w:p>
        </w:tc>
        <w:tc>
          <w:tcPr>
            <w:tcW w:w="1559" w:type="dxa"/>
            <w:tcBorders>
              <w:top w:val="nil"/>
              <w:bottom w:val="nil"/>
            </w:tcBorders>
            <w:shd w:val="clear" w:color="auto" w:fill="auto"/>
            <w:vAlign w:val="center"/>
          </w:tcPr>
          <w:p w:rsidR="006500D3" w:rsidRPr="002630FC" w:rsidRDefault="006500D3" w:rsidP="00EC4586">
            <w:pPr>
              <w:pStyle w:val="TableText"/>
              <w:spacing w:before="60" w:after="60"/>
              <w:jc w:val="center"/>
              <w:rPr>
                <w:b/>
                <w:bCs/>
              </w:rPr>
            </w:pPr>
            <w:r w:rsidRPr="002630FC">
              <w:rPr>
                <w:b/>
                <w:bCs/>
              </w:rPr>
              <w:t>0.30</w:t>
            </w:r>
            <w:r w:rsidR="002630FC" w:rsidRPr="002630FC">
              <w:rPr>
                <w:b/>
                <w:bCs/>
              </w:rPr>
              <w:t>%</w:t>
            </w:r>
          </w:p>
        </w:tc>
      </w:tr>
      <w:tr w:rsidR="00246E41" w:rsidRPr="002630FC" w:rsidTr="00FC5B81">
        <w:trPr>
          <w:cantSplit/>
          <w:trHeight w:val="198"/>
        </w:trPr>
        <w:tc>
          <w:tcPr>
            <w:tcW w:w="2755" w:type="dxa"/>
            <w:gridSpan w:val="2"/>
            <w:tcBorders>
              <w:top w:val="nil"/>
              <w:bottom w:val="single" w:sz="12" w:space="0" w:color="auto"/>
            </w:tcBorders>
            <w:shd w:val="clear" w:color="auto" w:fill="auto"/>
            <w:noWrap/>
            <w:tcMar>
              <w:top w:w="0" w:type="dxa"/>
              <w:left w:w="108" w:type="dxa"/>
              <w:bottom w:w="0" w:type="dxa"/>
              <w:right w:w="108" w:type="dxa"/>
            </w:tcMar>
            <w:vAlign w:val="center"/>
          </w:tcPr>
          <w:p w:rsidR="00246E41" w:rsidRPr="002630FC" w:rsidRDefault="002630FC" w:rsidP="00F06A8B">
            <w:pPr>
              <w:pStyle w:val="TableText"/>
              <w:spacing w:before="60" w:after="60"/>
              <w:jc w:val="center"/>
              <w:rPr>
                <w:b/>
                <w:bCs/>
              </w:rPr>
            </w:pPr>
            <w:r>
              <w:rPr>
                <w:rFonts w:eastAsia="Arial Unicode MS"/>
                <w:b/>
              </w:rPr>
              <w:t>Current e</w:t>
            </w:r>
            <w:r w:rsidR="00246E41" w:rsidRPr="002630FC">
              <w:rPr>
                <w:rFonts w:eastAsia="Arial Unicode MS"/>
                <w:b/>
              </w:rPr>
              <w:t>xpected amount</w:t>
            </w:r>
          </w:p>
        </w:tc>
        <w:tc>
          <w:tcPr>
            <w:tcW w:w="1526" w:type="dxa"/>
            <w:tcBorders>
              <w:top w:val="nil"/>
              <w:bottom w:val="single" w:sz="12" w:space="0" w:color="auto"/>
            </w:tcBorders>
            <w:shd w:val="clear" w:color="auto" w:fill="auto"/>
            <w:vAlign w:val="center"/>
          </w:tcPr>
          <w:p w:rsidR="00246E41" w:rsidRPr="002630FC" w:rsidRDefault="002630FC" w:rsidP="00EC4586">
            <w:pPr>
              <w:pStyle w:val="TableText"/>
              <w:spacing w:before="60" w:after="60"/>
              <w:jc w:val="center"/>
              <w:rPr>
                <w:b/>
                <w:bCs/>
              </w:rPr>
            </w:pPr>
            <w:r>
              <w:rPr>
                <w:b/>
                <w:bCs/>
              </w:rPr>
              <w:t>$33.353m</w:t>
            </w:r>
          </w:p>
        </w:tc>
        <w:tc>
          <w:tcPr>
            <w:tcW w:w="1417" w:type="dxa"/>
            <w:tcBorders>
              <w:top w:val="nil"/>
              <w:bottom w:val="single" w:sz="12" w:space="0" w:color="auto"/>
            </w:tcBorders>
            <w:shd w:val="clear" w:color="auto" w:fill="auto"/>
            <w:vAlign w:val="center"/>
          </w:tcPr>
          <w:p w:rsidR="00246E41" w:rsidRPr="002630FC" w:rsidRDefault="002630FC" w:rsidP="00EC4586">
            <w:pPr>
              <w:pStyle w:val="TableText"/>
              <w:spacing w:before="60" w:after="60"/>
              <w:jc w:val="center"/>
              <w:rPr>
                <w:b/>
                <w:bCs/>
              </w:rPr>
            </w:pPr>
            <w:r>
              <w:rPr>
                <w:b/>
                <w:bCs/>
              </w:rPr>
              <w:t>$11.337m</w:t>
            </w:r>
          </w:p>
        </w:tc>
        <w:tc>
          <w:tcPr>
            <w:tcW w:w="1560" w:type="dxa"/>
            <w:tcBorders>
              <w:top w:val="nil"/>
              <w:bottom w:val="single" w:sz="12" w:space="0" w:color="auto"/>
            </w:tcBorders>
            <w:shd w:val="clear" w:color="auto" w:fill="auto"/>
            <w:vAlign w:val="center"/>
          </w:tcPr>
          <w:p w:rsidR="00246E41" w:rsidRPr="002630FC" w:rsidRDefault="002630FC" w:rsidP="00EC4586">
            <w:pPr>
              <w:pStyle w:val="TableText"/>
              <w:spacing w:before="60" w:after="60"/>
              <w:jc w:val="center"/>
              <w:rPr>
                <w:b/>
                <w:bCs/>
              </w:rPr>
            </w:pPr>
            <w:r>
              <w:rPr>
                <w:b/>
                <w:bCs/>
              </w:rPr>
              <w:t>$5.381m</w:t>
            </w:r>
          </w:p>
        </w:tc>
        <w:tc>
          <w:tcPr>
            <w:tcW w:w="1559" w:type="dxa"/>
            <w:tcBorders>
              <w:top w:val="nil"/>
              <w:bottom w:val="single" w:sz="12" w:space="0" w:color="auto"/>
            </w:tcBorders>
            <w:shd w:val="clear" w:color="auto" w:fill="auto"/>
            <w:vAlign w:val="center"/>
          </w:tcPr>
          <w:p w:rsidR="00246E41" w:rsidRPr="002630FC" w:rsidRDefault="002630FC" w:rsidP="00EC4586">
            <w:pPr>
              <w:pStyle w:val="TableText"/>
              <w:spacing w:before="60" w:after="60"/>
              <w:jc w:val="center"/>
              <w:rPr>
                <w:b/>
                <w:bCs/>
              </w:rPr>
            </w:pPr>
            <w:r>
              <w:rPr>
                <w:b/>
                <w:bCs/>
              </w:rPr>
              <w:t>$3.945m</w:t>
            </w:r>
          </w:p>
        </w:tc>
      </w:tr>
    </w:tbl>
    <w:p w:rsidR="006500D3" w:rsidRDefault="00B8423F" w:rsidP="00F30A98">
      <w:pPr>
        <w:numPr>
          <w:ilvl w:val="0"/>
          <w:numId w:val="45"/>
        </w:numPr>
        <w:spacing w:before="60"/>
        <w:ind w:left="924" w:hanging="357"/>
        <w:rPr>
          <w:sz w:val="16"/>
          <w:szCs w:val="16"/>
        </w:rPr>
      </w:pPr>
      <w:r>
        <w:rPr>
          <w:sz w:val="16"/>
          <w:szCs w:val="16"/>
        </w:rPr>
        <w:t>The NCGM and casino s</w:t>
      </w:r>
      <w:r w:rsidR="00F06A8B">
        <w:rPr>
          <w:sz w:val="16"/>
          <w:szCs w:val="16"/>
        </w:rPr>
        <w:t xml:space="preserve">hares of the </w:t>
      </w:r>
      <w:r>
        <w:rPr>
          <w:sz w:val="16"/>
          <w:szCs w:val="16"/>
        </w:rPr>
        <w:t>budget for 2016/17 to 2018/19 are lower</w:t>
      </w:r>
      <w:r w:rsidR="00F06A8B">
        <w:rPr>
          <w:sz w:val="16"/>
          <w:szCs w:val="16"/>
        </w:rPr>
        <w:t xml:space="preserve"> than their shares of the total </w:t>
      </w:r>
      <w:r>
        <w:rPr>
          <w:sz w:val="16"/>
          <w:szCs w:val="16"/>
        </w:rPr>
        <w:t xml:space="preserve">expected levy amount under any of the </w:t>
      </w:r>
      <w:r w:rsidR="00F06A8B">
        <w:rPr>
          <w:sz w:val="16"/>
          <w:szCs w:val="16"/>
        </w:rPr>
        <w:t>weightings because they</w:t>
      </w:r>
      <w:r>
        <w:rPr>
          <w:sz w:val="16"/>
          <w:szCs w:val="16"/>
        </w:rPr>
        <w:t xml:space="preserve"> must m</w:t>
      </w:r>
      <w:r w:rsidR="00F06A8B">
        <w:rPr>
          <w:sz w:val="16"/>
          <w:szCs w:val="16"/>
        </w:rPr>
        <w:t xml:space="preserve">ake up under-recoveries </w:t>
      </w:r>
      <w:r>
        <w:rPr>
          <w:sz w:val="16"/>
          <w:szCs w:val="16"/>
        </w:rPr>
        <w:t xml:space="preserve">in the previous </w:t>
      </w:r>
      <w:r w:rsidR="00F06A8B">
        <w:rPr>
          <w:sz w:val="16"/>
          <w:szCs w:val="16"/>
        </w:rPr>
        <w:t>periods.  T</w:t>
      </w:r>
      <w:r>
        <w:rPr>
          <w:sz w:val="16"/>
          <w:szCs w:val="16"/>
        </w:rPr>
        <w:t xml:space="preserve">he New Zealand Racing Board and New Zealand Lotteries Commission shares of the budget are higher than their shares of the expected levy </w:t>
      </w:r>
      <w:r w:rsidR="00F06A8B">
        <w:rPr>
          <w:sz w:val="16"/>
          <w:szCs w:val="16"/>
        </w:rPr>
        <w:t>amount because they</w:t>
      </w:r>
      <w:r>
        <w:rPr>
          <w:sz w:val="16"/>
          <w:szCs w:val="16"/>
        </w:rPr>
        <w:t xml:space="preserve"> are to be reimbursed over-recoveries. </w:t>
      </w:r>
    </w:p>
    <w:p w:rsidR="0082400F" w:rsidRPr="0082400F" w:rsidRDefault="00B8423F" w:rsidP="00F30A98">
      <w:pPr>
        <w:numPr>
          <w:ilvl w:val="0"/>
          <w:numId w:val="45"/>
        </w:numPr>
        <w:spacing w:before="60"/>
        <w:ind w:left="924" w:hanging="357"/>
        <w:rPr>
          <w:sz w:val="16"/>
          <w:szCs w:val="16"/>
        </w:rPr>
      </w:pPr>
      <w:r w:rsidRPr="0082400F">
        <w:rPr>
          <w:sz w:val="16"/>
          <w:szCs w:val="16"/>
        </w:rPr>
        <w:t>The total</w:t>
      </w:r>
      <w:r>
        <w:rPr>
          <w:sz w:val="16"/>
          <w:szCs w:val="16"/>
        </w:rPr>
        <w:t xml:space="preserve"> </w:t>
      </w:r>
      <w:r w:rsidRPr="0082400F">
        <w:rPr>
          <w:sz w:val="16"/>
          <w:szCs w:val="16"/>
        </w:rPr>
        <w:t>expec</w:t>
      </w:r>
      <w:r>
        <w:rPr>
          <w:sz w:val="16"/>
          <w:szCs w:val="16"/>
        </w:rPr>
        <w:t>ted levy amount</w:t>
      </w:r>
      <w:r w:rsidRPr="0082400F">
        <w:rPr>
          <w:sz w:val="16"/>
          <w:szCs w:val="16"/>
        </w:rPr>
        <w:t xml:space="preserve"> across the four levy-paying sectors does not exactly match the total levy requirement of $56.202 million </w:t>
      </w:r>
      <w:r>
        <w:rPr>
          <w:sz w:val="16"/>
          <w:szCs w:val="16"/>
        </w:rPr>
        <w:t xml:space="preserve">for 2016/17 to 2018/19 </w:t>
      </w:r>
      <w:r w:rsidRPr="0082400F">
        <w:rPr>
          <w:sz w:val="16"/>
          <w:szCs w:val="16"/>
        </w:rPr>
        <w:t xml:space="preserve">under any of the four weightings.  These minor variances are a result of the levy rates being calculated to multiple decimal places </w:t>
      </w:r>
      <w:r>
        <w:rPr>
          <w:sz w:val="16"/>
          <w:szCs w:val="16"/>
        </w:rPr>
        <w:t xml:space="preserve">before </w:t>
      </w:r>
      <w:r w:rsidRPr="0082400F">
        <w:rPr>
          <w:sz w:val="16"/>
          <w:szCs w:val="16"/>
        </w:rPr>
        <w:t>being rounded to two places.</w:t>
      </w:r>
      <w:r>
        <w:rPr>
          <w:sz w:val="16"/>
          <w:szCs w:val="16"/>
        </w:rPr>
        <w:t xml:space="preserve">  </w:t>
      </w:r>
      <w:r w:rsidR="00DE3AAC">
        <w:rPr>
          <w:sz w:val="16"/>
          <w:szCs w:val="16"/>
        </w:rPr>
        <w:t>The</w:t>
      </w:r>
      <w:r>
        <w:rPr>
          <w:sz w:val="16"/>
          <w:szCs w:val="16"/>
        </w:rPr>
        <w:t xml:space="preserve"> </w:t>
      </w:r>
      <w:r w:rsidR="00DE3AAC">
        <w:rPr>
          <w:sz w:val="16"/>
          <w:szCs w:val="16"/>
        </w:rPr>
        <w:t xml:space="preserve">variances </w:t>
      </w:r>
      <w:r>
        <w:rPr>
          <w:sz w:val="16"/>
          <w:szCs w:val="16"/>
        </w:rPr>
        <w:t>are eliminated when under-recoveries and over-recoveries are calculated before the start of the subsequent levy period.</w:t>
      </w:r>
    </w:p>
    <w:p w:rsidR="006500D3" w:rsidRDefault="006500D3" w:rsidP="00B8423F">
      <w:pPr>
        <w:spacing w:after="120"/>
        <w:rPr>
          <w:sz w:val="22"/>
          <w:szCs w:val="22"/>
        </w:rPr>
      </w:pPr>
    </w:p>
    <w:p w:rsidR="00B638C1" w:rsidRDefault="00B638C1" w:rsidP="00B8423F">
      <w:pPr>
        <w:numPr>
          <w:ilvl w:val="0"/>
          <w:numId w:val="41"/>
        </w:numPr>
        <w:ind w:left="567" w:hanging="567"/>
        <w:rPr>
          <w:sz w:val="22"/>
          <w:szCs w:val="22"/>
        </w:rPr>
      </w:pPr>
      <w:r>
        <w:rPr>
          <w:sz w:val="22"/>
          <w:szCs w:val="22"/>
        </w:rPr>
        <w:t xml:space="preserve">Table 4 shows the estimated </w:t>
      </w:r>
      <w:r w:rsidR="00C027B3">
        <w:rPr>
          <w:sz w:val="22"/>
          <w:szCs w:val="22"/>
        </w:rPr>
        <w:t xml:space="preserve">net </w:t>
      </w:r>
      <w:r>
        <w:rPr>
          <w:sz w:val="22"/>
          <w:szCs w:val="22"/>
        </w:rPr>
        <w:t>under-recovery or over-recovery of levy for each sector for the four previous levy periods to 30 June</w:t>
      </w:r>
      <w:r>
        <w:t> </w:t>
      </w:r>
      <w:r>
        <w:rPr>
          <w:sz w:val="22"/>
          <w:szCs w:val="22"/>
        </w:rPr>
        <w:t xml:space="preserve">2016, and the net under-recovery </w:t>
      </w:r>
      <w:r w:rsidR="00C027B3">
        <w:rPr>
          <w:sz w:val="22"/>
          <w:szCs w:val="22"/>
        </w:rPr>
        <w:t xml:space="preserve">across all four sectors </w:t>
      </w:r>
      <w:r>
        <w:rPr>
          <w:sz w:val="22"/>
          <w:szCs w:val="22"/>
        </w:rPr>
        <w:t>for those periods.</w:t>
      </w:r>
    </w:p>
    <w:p w:rsidR="00B638C1" w:rsidRDefault="00B638C1" w:rsidP="00B638C1">
      <w:pPr>
        <w:rPr>
          <w:sz w:val="22"/>
          <w:szCs w:val="22"/>
        </w:rPr>
      </w:pPr>
    </w:p>
    <w:p w:rsidR="00B638C1" w:rsidRPr="00B638C1" w:rsidRDefault="00E862B2" w:rsidP="00B638C1">
      <w:pPr>
        <w:pStyle w:val="Table"/>
        <w:ind w:left="567" w:firstLine="0"/>
        <w:rPr>
          <w:sz w:val="20"/>
        </w:rPr>
      </w:pPr>
      <w:bookmarkStart w:id="42" w:name="_Toc422409760"/>
      <w:bookmarkStart w:id="43" w:name="_Toc422840827"/>
      <w:bookmarkStart w:id="44" w:name="_Toc432151704"/>
      <w:bookmarkStart w:id="45" w:name="_Toc443057204"/>
      <w:r>
        <w:rPr>
          <w:sz w:val="20"/>
        </w:rPr>
        <w:t>Table 4</w:t>
      </w:r>
      <w:r w:rsidR="00DF6869">
        <w:rPr>
          <w:sz w:val="20"/>
        </w:rPr>
        <w:t xml:space="preserve">: </w:t>
      </w:r>
      <w:r w:rsidR="00B638C1" w:rsidRPr="00B638C1">
        <w:rPr>
          <w:sz w:val="20"/>
        </w:rPr>
        <w:t>Under-recovery or over-recovery of levy, 2004/05 to 2015/16, by sector</w:t>
      </w:r>
      <w:bookmarkEnd w:id="42"/>
      <w:bookmarkEnd w:id="43"/>
      <w:bookmarkEnd w:id="44"/>
      <w:bookmarkEnd w:id="45"/>
    </w:p>
    <w:tbl>
      <w:tblPr>
        <w:tblW w:w="2321" w:type="pct"/>
        <w:jc w:val="center"/>
        <w:tblBorders>
          <w:top w:val="single" w:sz="4" w:space="0" w:color="auto"/>
          <w:bottom w:val="single" w:sz="4" w:space="0" w:color="auto"/>
        </w:tblBorders>
        <w:tblLayout w:type="fixed"/>
        <w:tblCellMar>
          <w:left w:w="57" w:type="dxa"/>
          <w:right w:w="57" w:type="dxa"/>
        </w:tblCellMar>
        <w:tblLook w:val="0000" w:firstRow="0" w:lastRow="0" w:firstColumn="0" w:lastColumn="0" w:noHBand="0" w:noVBand="0"/>
      </w:tblPr>
      <w:tblGrid>
        <w:gridCol w:w="2128"/>
        <w:gridCol w:w="2268"/>
      </w:tblGrid>
      <w:tr w:rsidR="00B638C1" w:rsidRPr="008E3950" w:rsidTr="00B638C1">
        <w:trPr>
          <w:cantSplit/>
          <w:jc w:val="center"/>
        </w:trPr>
        <w:tc>
          <w:tcPr>
            <w:tcW w:w="2420" w:type="pct"/>
            <w:tcBorders>
              <w:top w:val="single" w:sz="4" w:space="0" w:color="auto"/>
              <w:bottom w:val="single" w:sz="4" w:space="0" w:color="auto"/>
            </w:tcBorders>
            <w:shd w:val="clear" w:color="auto" w:fill="auto"/>
            <w:noWrap/>
          </w:tcPr>
          <w:p w:rsidR="00B638C1" w:rsidRPr="008E3950" w:rsidRDefault="00B638C1" w:rsidP="00C027B3">
            <w:pPr>
              <w:pStyle w:val="TableText"/>
              <w:spacing w:before="60" w:after="60"/>
              <w:rPr>
                <w:b/>
                <w:lang w:eastAsia="en-US"/>
              </w:rPr>
            </w:pPr>
            <w:r w:rsidRPr="008E3950">
              <w:rPr>
                <w:b/>
                <w:lang w:eastAsia="en-US"/>
              </w:rPr>
              <w:t>Sector</w:t>
            </w:r>
          </w:p>
        </w:tc>
        <w:tc>
          <w:tcPr>
            <w:tcW w:w="2580" w:type="pct"/>
            <w:tcBorders>
              <w:top w:val="single" w:sz="4" w:space="0" w:color="auto"/>
              <w:bottom w:val="single" w:sz="4" w:space="0" w:color="auto"/>
            </w:tcBorders>
            <w:shd w:val="clear" w:color="auto" w:fill="auto"/>
            <w:noWrap/>
          </w:tcPr>
          <w:p w:rsidR="00B638C1" w:rsidRPr="008E3950" w:rsidRDefault="00B638C1" w:rsidP="00C027B3">
            <w:pPr>
              <w:pStyle w:val="TableText"/>
              <w:spacing w:before="60" w:after="60"/>
              <w:jc w:val="center"/>
              <w:rPr>
                <w:b/>
                <w:lang w:eastAsia="en-US"/>
              </w:rPr>
            </w:pPr>
            <w:r w:rsidRPr="008E3950">
              <w:rPr>
                <w:b/>
                <w:lang w:eastAsia="en-US"/>
              </w:rPr>
              <w:t>$m (GST exclusive)</w:t>
            </w:r>
          </w:p>
        </w:tc>
      </w:tr>
      <w:tr w:rsidR="00B638C1" w:rsidRPr="008E3950" w:rsidTr="00B638C1">
        <w:trPr>
          <w:cantSplit/>
          <w:jc w:val="center"/>
        </w:trPr>
        <w:tc>
          <w:tcPr>
            <w:tcW w:w="2420" w:type="pct"/>
            <w:tcBorders>
              <w:top w:val="single" w:sz="4" w:space="0" w:color="auto"/>
            </w:tcBorders>
            <w:shd w:val="clear" w:color="auto" w:fill="auto"/>
            <w:noWrap/>
          </w:tcPr>
          <w:p w:rsidR="00B638C1" w:rsidRPr="008E3950" w:rsidRDefault="00B638C1" w:rsidP="00C027B3">
            <w:pPr>
              <w:pStyle w:val="TableText"/>
              <w:spacing w:before="60" w:after="60"/>
              <w:rPr>
                <w:lang w:eastAsia="en-US"/>
              </w:rPr>
            </w:pPr>
            <w:r w:rsidRPr="008E3950">
              <w:rPr>
                <w:lang w:eastAsia="en-US"/>
              </w:rPr>
              <w:t>NCGMs</w:t>
            </w:r>
          </w:p>
        </w:tc>
        <w:tc>
          <w:tcPr>
            <w:tcW w:w="2580" w:type="pct"/>
            <w:tcBorders>
              <w:top w:val="single" w:sz="4" w:space="0" w:color="auto"/>
            </w:tcBorders>
            <w:shd w:val="clear" w:color="auto" w:fill="auto"/>
            <w:noWrap/>
          </w:tcPr>
          <w:p w:rsidR="00B638C1" w:rsidRPr="008E3950" w:rsidRDefault="00B638C1" w:rsidP="00C027B3">
            <w:pPr>
              <w:pStyle w:val="TableText"/>
              <w:tabs>
                <w:tab w:val="decimal" w:pos="934"/>
              </w:tabs>
              <w:spacing w:before="60" w:after="60"/>
              <w:rPr>
                <w:rFonts w:eastAsia="Arial Unicode MS"/>
              </w:rPr>
            </w:pPr>
            <w:r w:rsidRPr="008E3950">
              <w:rPr>
                <w:rFonts w:eastAsia="Arial Unicode MS"/>
              </w:rPr>
              <w:t>-1.308</w:t>
            </w:r>
          </w:p>
        </w:tc>
      </w:tr>
      <w:tr w:rsidR="00B638C1" w:rsidRPr="008E3950" w:rsidTr="00B638C1">
        <w:trPr>
          <w:cantSplit/>
          <w:jc w:val="center"/>
        </w:trPr>
        <w:tc>
          <w:tcPr>
            <w:tcW w:w="2420" w:type="pct"/>
            <w:shd w:val="clear" w:color="auto" w:fill="auto"/>
            <w:noWrap/>
          </w:tcPr>
          <w:p w:rsidR="00B638C1" w:rsidRPr="008E3950" w:rsidRDefault="00B638C1" w:rsidP="00C027B3">
            <w:pPr>
              <w:pStyle w:val="TableText"/>
              <w:spacing w:before="60" w:after="60"/>
              <w:rPr>
                <w:lang w:eastAsia="en-US"/>
              </w:rPr>
            </w:pPr>
            <w:r w:rsidRPr="008E3950">
              <w:rPr>
                <w:lang w:eastAsia="en-US"/>
              </w:rPr>
              <w:t>Casinos</w:t>
            </w:r>
          </w:p>
        </w:tc>
        <w:tc>
          <w:tcPr>
            <w:tcW w:w="2580" w:type="pct"/>
            <w:shd w:val="clear" w:color="auto" w:fill="auto"/>
            <w:noWrap/>
          </w:tcPr>
          <w:p w:rsidR="00B638C1" w:rsidRPr="008E3950" w:rsidRDefault="00B638C1" w:rsidP="00C027B3">
            <w:pPr>
              <w:pStyle w:val="TableText"/>
              <w:tabs>
                <w:tab w:val="decimal" w:pos="934"/>
              </w:tabs>
              <w:spacing w:before="60" w:after="60"/>
              <w:rPr>
                <w:rFonts w:eastAsia="Arial Unicode MS"/>
              </w:rPr>
            </w:pPr>
            <w:r w:rsidRPr="008E3950">
              <w:rPr>
                <w:rFonts w:eastAsia="Arial Unicode MS"/>
              </w:rPr>
              <w:t>-1.567</w:t>
            </w:r>
          </w:p>
        </w:tc>
      </w:tr>
      <w:tr w:rsidR="00B638C1" w:rsidRPr="008E3950" w:rsidTr="00B638C1">
        <w:trPr>
          <w:cantSplit/>
          <w:jc w:val="center"/>
        </w:trPr>
        <w:tc>
          <w:tcPr>
            <w:tcW w:w="2420" w:type="pct"/>
            <w:tcBorders>
              <w:bottom w:val="nil"/>
            </w:tcBorders>
            <w:shd w:val="clear" w:color="auto" w:fill="auto"/>
            <w:noWrap/>
          </w:tcPr>
          <w:p w:rsidR="00B638C1" w:rsidRPr="008E3950" w:rsidRDefault="00B638C1" w:rsidP="00C027B3">
            <w:pPr>
              <w:pStyle w:val="TableText"/>
              <w:spacing w:before="60" w:after="60"/>
              <w:rPr>
                <w:lang w:eastAsia="en-US"/>
              </w:rPr>
            </w:pPr>
            <w:r w:rsidRPr="008E3950">
              <w:rPr>
                <w:lang w:eastAsia="en-US"/>
              </w:rPr>
              <w:t>NZRB</w:t>
            </w:r>
          </w:p>
        </w:tc>
        <w:tc>
          <w:tcPr>
            <w:tcW w:w="2580" w:type="pct"/>
            <w:tcBorders>
              <w:bottom w:val="nil"/>
            </w:tcBorders>
            <w:shd w:val="clear" w:color="auto" w:fill="auto"/>
            <w:noWrap/>
          </w:tcPr>
          <w:p w:rsidR="00B638C1" w:rsidRPr="008E3950" w:rsidRDefault="00B638C1" w:rsidP="00C027B3">
            <w:pPr>
              <w:pStyle w:val="TableText"/>
              <w:tabs>
                <w:tab w:val="decimal" w:pos="934"/>
              </w:tabs>
              <w:spacing w:before="60" w:after="60"/>
              <w:rPr>
                <w:rFonts w:eastAsia="Arial Unicode MS"/>
              </w:rPr>
            </w:pPr>
            <w:r w:rsidRPr="008E3950">
              <w:rPr>
                <w:rFonts w:eastAsia="Arial Unicode MS"/>
              </w:rPr>
              <w:t>1.364</w:t>
            </w:r>
          </w:p>
        </w:tc>
      </w:tr>
      <w:tr w:rsidR="00B638C1" w:rsidRPr="008E3950" w:rsidTr="00B638C1">
        <w:trPr>
          <w:cantSplit/>
          <w:jc w:val="center"/>
        </w:trPr>
        <w:tc>
          <w:tcPr>
            <w:tcW w:w="2420" w:type="pct"/>
            <w:tcBorders>
              <w:top w:val="nil"/>
              <w:bottom w:val="single" w:sz="4" w:space="0" w:color="auto"/>
            </w:tcBorders>
            <w:shd w:val="clear" w:color="auto" w:fill="auto"/>
            <w:noWrap/>
          </w:tcPr>
          <w:p w:rsidR="00B638C1" w:rsidRPr="008E3950" w:rsidRDefault="00B638C1" w:rsidP="00C027B3">
            <w:pPr>
              <w:pStyle w:val="TableText"/>
              <w:spacing w:before="60" w:after="60"/>
              <w:rPr>
                <w:lang w:eastAsia="en-US"/>
              </w:rPr>
            </w:pPr>
            <w:r w:rsidRPr="008E3950">
              <w:rPr>
                <w:lang w:eastAsia="en-US"/>
              </w:rPr>
              <w:t>NZLC</w:t>
            </w:r>
          </w:p>
        </w:tc>
        <w:tc>
          <w:tcPr>
            <w:tcW w:w="2580" w:type="pct"/>
            <w:tcBorders>
              <w:top w:val="nil"/>
              <w:bottom w:val="single" w:sz="4" w:space="0" w:color="auto"/>
            </w:tcBorders>
            <w:shd w:val="clear" w:color="auto" w:fill="auto"/>
            <w:noWrap/>
          </w:tcPr>
          <w:p w:rsidR="00B638C1" w:rsidRPr="008E3950" w:rsidRDefault="00B638C1" w:rsidP="00C027B3">
            <w:pPr>
              <w:pStyle w:val="TableText"/>
              <w:tabs>
                <w:tab w:val="decimal" w:pos="934"/>
              </w:tabs>
              <w:spacing w:before="60" w:after="60"/>
              <w:rPr>
                <w:rFonts w:eastAsia="Arial Unicode MS"/>
              </w:rPr>
            </w:pPr>
            <w:r w:rsidRPr="008E3950">
              <w:rPr>
                <w:rFonts w:eastAsia="Arial Unicode MS"/>
              </w:rPr>
              <w:t>0.648</w:t>
            </w:r>
          </w:p>
        </w:tc>
      </w:tr>
      <w:tr w:rsidR="00B638C1" w:rsidRPr="008E3950" w:rsidTr="00B638C1">
        <w:trPr>
          <w:cantSplit/>
          <w:jc w:val="center"/>
        </w:trPr>
        <w:tc>
          <w:tcPr>
            <w:tcW w:w="2420" w:type="pct"/>
            <w:tcBorders>
              <w:top w:val="single" w:sz="4" w:space="0" w:color="auto"/>
            </w:tcBorders>
            <w:shd w:val="clear" w:color="auto" w:fill="auto"/>
            <w:noWrap/>
          </w:tcPr>
          <w:p w:rsidR="00B638C1" w:rsidRPr="008E3950" w:rsidRDefault="00B638C1" w:rsidP="00C027B3">
            <w:pPr>
              <w:pStyle w:val="TableText"/>
              <w:spacing w:before="60" w:after="60"/>
              <w:rPr>
                <w:lang w:eastAsia="en-US"/>
              </w:rPr>
            </w:pPr>
            <w:r>
              <w:rPr>
                <w:lang w:eastAsia="en-US"/>
              </w:rPr>
              <w:t>Net under-recovery</w:t>
            </w:r>
          </w:p>
        </w:tc>
        <w:tc>
          <w:tcPr>
            <w:tcW w:w="2580" w:type="pct"/>
            <w:tcBorders>
              <w:top w:val="single" w:sz="4" w:space="0" w:color="auto"/>
            </w:tcBorders>
            <w:shd w:val="clear" w:color="auto" w:fill="auto"/>
            <w:noWrap/>
          </w:tcPr>
          <w:p w:rsidR="00B638C1" w:rsidRPr="008E3950" w:rsidRDefault="00B638C1" w:rsidP="00C027B3">
            <w:pPr>
              <w:pStyle w:val="TableText"/>
              <w:tabs>
                <w:tab w:val="decimal" w:pos="934"/>
              </w:tabs>
              <w:spacing w:before="60" w:after="60"/>
              <w:rPr>
                <w:rFonts w:eastAsia="Arial Unicode MS"/>
              </w:rPr>
            </w:pPr>
            <w:r>
              <w:rPr>
                <w:rFonts w:eastAsia="Arial Unicode MS"/>
              </w:rPr>
              <w:t>-0.863</w:t>
            </w:r>
          </w:p>
        </w:tc>
      </w:tr>
    </w:tbl>
    <w:p w:rsidR="00B638C1" w:rsidRPr="00B638C1" w:rsidRDefault="00B638C1" w:rsidP="00B638C1">
      <w:pPr>
        <w:pStyle w:val="Note"/>
        <w:ind w:left="567" w:firstLine="0"/>
        <w:jc w:val="center"/>
        <w:rPr>
          <w:sz w:val="16"/>
          <w:szCs w:val="16"/>
        </w:rPr>
      </w:pPr>
      <w:r w:rsidRPr="00B638C1">
        <w:rPr>
          <w:sz w:val="16"/>
          <w:szCs w:val="16"/>
        </w:rPr>
        <w:t>A negative figure indicates under-recovery and a positive figure indicates over-recovery.</w:t>
      </w:r>
    </w:p>
    <w:p w:rsidR="00B638C1" w:rsidRDefault="00B638C1" w:rsidP="00E862B2">
      <w:pPr>
        <w:spacing w:after="120"/>
        <w:rPr>
          <w:sz w:val="22"/>
          <w:szCs w:val="22"/>
        </w:rPr>
      </w:pPr>
    </w:p>
    <w:p w:rsidR="00F725F6" w:rsidRDefault="00E862B2" w:rsidP="00B8423F">
      <w:pPr>
        <w:numPr>
          <w:ilvl w:val="0"/>
          <w:numId w:val="41"/>
        </w:numPr>
        <w:ind w:left="567" w:hanging="567"/>
        <w:rPr>
          <w:sz w:val="22"/>
          <w:szCs w:val="22"/>
        </w:rPr>
      </w:pPr>
      <w:r>
        <w:rPr>
          <w:sz w:val="22"/>
          <w:szCs w:val="22"/>
        </w:rPr>
        <w:t>Table 3 shows that, u</w:t>
      </w:r>
      <w:r w:rsidR="002B64F7">
        <w:rPr>
          <w:sz w:val="22"/>
          <w:szCs w:val="22"/>
        </w:rPr>
        <w:t>nder any of the four alternative weightings, t</w:t>
      </w:r>
      <w:r w:rsidR="00F725F6">
        <w:rPr>
          <w:sz w:val="22"/>
          <w:szCs w:val="22"/>
        </w:rPr>
        <w:t>he NCGM sector would pay a smaller share of the budget than it was required to pay in 2013/14 to 2015/</w:t>
      </w:r>
      <w:r w:rsidR="002B64F7">
        <w:rPr>
          <w:sz w:val="22"/>
          <w:szCs w:val="22"/>
        </w:rPr>
        <w:t>16</w:t>
      </w:r>
      <w:r w:rsidR="00F725F6">
        <w:rPr>
          <w:sz w:val="22"/>
          <w:szCs w:val="22"/>
        </w:rPr>
        <w:t xml:space="preserve">.  </w:t>
      </w:r>
      <w:r w:rsidR="002B64F7">
        <w:rPr>
          <w:sz w:val="22"/>
          <w:szCs w:val="22"/>
        </w:rPr>
        <w:t>Its levy rate</w:t>
      </w:r>
      <w:r w:rsidR="00F725F6">
        <w:rPr>
          <w:sz w:val="22"/>
          <w:szCs w:val="22"/>
        </w:rPr>
        <w:t xml:space="preserve"> would be lower under any of the weightings except the 5/95 weighting.  </w:t>
      </w:r>
      <w:r w:rsidR="002B64F7">
        <w:rPr>
          <w:sz w:val="22"/>
          <w:szCs w:val="22"/>
        </w:rPr>
        <w:t xml:space="preserve">Despite its levy rate being higher under the 5/95 weighting, </w:t>
      </w:r>
      <w:r w:rsidR="00A9514A">
        <w:rPr>
          <w:sz w:val="22"/>
          <w:szCs w:val="22"/>
        </w:rPr>
        <w:t xml:space="preserve">under the levy rate that would result from that weighting and under any of the other three levy rates </w:t>
      </w:r>
      <w:r w:rsidR="002B64F7">
        <w:rPr>
          <w:sz w:val="22"/>
          <w:szCs w:val="22"/>
        </w:rPr>
        <w:t xml:space="preserve">the amount </w:t>
      </w:r>
      <w:r w:rsidR="00B638C1">
        <w:rPr>
          <w:sz w:val="22"/>
          <w:szCs w:val="22"/>
        </w:rPr>
        <w:t xml:space="preserve">it </w:t>
      </w:r>
      <w:r w:rsidR="002B64F7">
        <w:rPr>
          <w:sz w:val="22"/>
          <w:szCs w:val="22"/>
        </w:rPr>
        <w:t xml:space="preserve">would be expected to pay towards the total levy requirement would be smaller than in 2013/14 to 2015/16.  </w:t>
      </w:r>
      <w:r>
        <w:rPr>
          <w:sz w:val="22"/>
          <w:szCs w:val="22"/>
        </w:rPr>
        <w:t>It is apparent that, o</w:t>
      </w:r>
      <w:r w:rsidR="00B638C1">
        <w:rPr>
          <w:sz w:val="22"/>
          <w:szCs w:val="22"/>
        </w:rPr>
        <w:t xml:space="preserve">n </w:t>
      </w:r>
      <w:r>
        <w:rPr>
          <w:sz w:val="22"/>
          <w:szCs w:val="22"/>
        </w:rPr>
        <w:t>al</w:t>
      </w:r>
      <w:r w:rsidR="00B638C1">
        <w:rPr>
          <w:sz w:val="22"/>
          <w:szCs w:val="22"/>
        </w:rPr>
        <w:t xml:space="preserve">most </w:t>
      </w:r>
      <w:r>
        <w:rPr>
          <w:sz w:val="22"/>
          <w:szCs w:val="22"/>
        </w:rPr>
        <w:t xml:space="preserve">all </w:t>
      </w:r>
      <w:r w:rsidR="00B638C1">
        <w:rPr>
          <w:sz w:val="22"/>
          <w:szCs w:val="22"/>
        </w:rPr>
        <w:t>measures, the reduction</w:t>
      </w:r>
      <w:r>
        <w:rPr>
          <w:sz w:val="22"/>
          <w:szCs w:val="22"/>
        </w:rPr>
        <w:t>s</w:t>
      </w:r>
      <w:r w:rsidR="00B638C1">
        <w:rPr>
          <w:sz w:val="22"/>
          <w:szCs w:val="22"/>
        </w:rPr>
        <w:t xml:space="preserve"> in </w:t>
      </w:r>
      <w:r>
        <w:rPr>
          <w:sz w:val="22"/>
          <w:szCs w:val="22"/>
        </w:rPr>
        <w:t xml:space="preserve">the </w:t>
      </w:r>
      <w:r w:rsidR="0082556D">
        <w:rPr>
          <w:sz w:val="22"/>
          <w:szCs w:val="22"/>
        </w:rPr>
        <w:t>percentages</w:t>
      </w:r>
      <w:r w:rsidR="00175D1B">
        <w:rPr>
          <w:sz w:val="22"/>
          <w:szCs w:val="22"/>
        </w:rPr>
        <w:t xml:space="preserve"> of both </w:t>
      </w:r>
      <w:r w:rsidR="00B638C1">
        <w:rPr>
          <w:sz w:val="22"/>
          <w:szCs w:val="22"/>
        </w:rPr>
        <w:t xml:space="preserve">expenditure and presentations attributed to the NCGM sector </w:t>
      </w:r>
      <w:r w:rsidR="00C027B3">
        <w:rPr>
          <w:sz w:val="22"/>
          <w:szCs w:val="22"/>
        </w:rPr>
        <w:t xml:space="preserve">in 2014/15 </w:t>
      </w:r>
      <w:r w:rsidR="00B638C1">
        <w:rPr>
          <w:sz w:val="22"/>
          <w:szCs w:val="22"/>
        </w:rPr>
        <w:t xml:space="preserve">outweigh the requirement </w:t>
      </w:r>
      <w:r>
        <w:rPr>
          <w:sz w:val="22"/>
          <w:szCs w:val="22"/>
        </w:rPr>
        <w:t>for that sector to make up an under-recovery of levy in previous periods.</w:t>
      </w:r>
    </w:p>
    <w:p w:rsidR="00E862B2" w:rsidRDefault="00E862B2" w:rsidP="00E862B2">
      <w:pPr>
        <w:rPr>
          <w:sz w:val="22"/>
          <w:szCs w:val="22"/>
        </w:rPr>
      </w:pPr>
    </w:p>
    <w:p w:rsidR="00E862B2" w:rsidRDefault="00E862B2" w:rsidP="00E862B2">
      <w:pPr>
        <w:numPr>
          <w:ilvl w:val="0"/>
          <w:numId w:val="41"/>
        </w:numPr>
        <w:ind w:left="567" w:hanging="567"/>
        <w:rPr>
          <w:sz w:val="22"/>
          <w:szCs w:val="22"/>
        </w:rPr>
      </w:pPr>
      <w:r>
        <w:rPr>
          <w:sz w:val="22"/>
          <w:szCs w:val="22"/>
        </w:rPr>
        <w:t xml:space="preserve">The casinos and the New Zealand Lotteries Commission face higher shares of the budget, higher levy rates and higher expected levy amounts </w:t>
      </w:r>
      <w:r w:rsidR="00175D1B">
        <w:rPr>
          <w:sz w:val="22"/>
          <w:szCs w:val="22"/>
        </w:rPr>
        <w:t xml:space="preserve">than in the 2013/14 to 2015/16 period </w:t>
      </w:r>
      <w:r>
        <w:rPr>
          <w:sz w:val="22"/>
          <w:szCs w:val="22"/>
        </w:rPr>
        <w:t xml:space="preserve">under any of the </w:t>
      </w:r>
      <w:r w:rsidR="007F6251">
        <w:rPr>
          <w:sz w:val="22"/>
          <w:szCs w:val="22"/>
        </w:rPr>
        <w:t>weightings</w:t>
      </w:r>
      <w:r w:rsidR="00175D1B">
        <w:rPr>
          <w:sz w:val="22"/>
          <w:szCs w:val="22"/>
        </w:rPr>
        <w:t xml:space="preserve">.  </w:t>
      </w:r>
      <w:r w:rsidR="0082556D">
        <w:rPr>
          <w:sz w:val="22"/>
          <w:szCs w:val="22"/>
        </w:rPr>
        <w:t>For the</w:t>
      </w:r>
      <w:r w:rsidR="00175D1B">
        <w:rPr>
          <w:sz w:val="22"/>
          <w:szCs w:val="22"/>
        </w:rPr>
        <w:t xml:space="preserve"> casinos, this is largely because of small increases in that sector’s </w:t>
      </w:r>
      <w:r w:rsidR="0082556D">
        <w:rPr>
          <w:sz w:val="22"/>
          <w:szCs w:val="22"/>
        </w:rPr>
        <w:t>percentages</w:t>
      </w:r>
      <w:r w:rsidR="00175D1B">
        <w:rPr>
          <w:sz w:val="22"/>
          <w:szCs w:val="22"/>
        </w:rPr>
        <w:t xml:space="preserve"> of both expenditure and presentations</w:t>
      </w:r>
      <w:r w:rsidR="00C55BDD">
        <w:rPr>
          <w:sz w:val="22"/>
          <w:szCs w:val="22"/>
        </w:rPr>
        <w:t>,</w:t>
      </w:r>
      <w:r w:rsidR="00175D1B">
        <w:rPr>
          <w:sz w:val="22"/>
          <w:szCs w:val="22"/>
        </w:rPr>
        <w:t xml:space="preserve"> and an under-recovery of levy in previous periods.  In the case of the New Zealand Lotteries Commission, it is largely because a substantial increase in its </w:t>
      </w:r>
      <w:r w:rsidR="0082556D">
        <w:rPr>
          <w:sz w:val="22"/>
          <w:szCs w:val="22"/>
        </w:rPr>
        <w:t>percentage</w:t>
      </w:r>
      <w:r w:rsidR="00175D1B">
        <w:rPr>
          <w:sz w:val="22"/>
          <w:szCs w:val="22"/>
        </w:rPr>
        <w:t xml:space="preserve"> of presentations outweighs both a small reduction in its </w:t>
      </w:r>
      <w:r w:rsidR="0082556D">
        <w:rPr>
          <w:sz w:val="22"/>
          <w:szCs w:val="22"/>
        </w:rPr>
        <w:t>percentage</w:t>
      </w:r>
      <w:r w:rsidR="00175D1B">
        <w:rPr>
          <w:sz w:val="22"/>
          <w:szCs w:val="22"/>
        </w:rPr>
        <w:t xml:space="preserve"> of expenditure and a requirement for it to be reimbursed an over-recovery of levy in previous periods.</w:t>
      </w:r>
    </w:p>
    <w:p w:rsidR="00175D1B" w:rsidRPr="003639C8" w:rsidRDefault="00175D1B" w:rsidP="00175D1B">
      <w:pPr>
        <w:rPr>
          <w:sz w:val="22"/>
          <w:szCs w:val="22"/>
        </w:rPr>
      </w:pPr>
    </w:p>
    <w:p w:rsidR="00175D1B" w:rsidRPr="003639C8" w:rsidRDefault="007F6251" w:rsidP="005670A7">
      <w:pPr>
        <w:numPr>
          <w:ilvl w:val="0"/>
          <w:numId w:val="41"/>
        </w:numPr>
        <w:ind w:left="567" w:hanging="567"/>
        <w:rPr>
          <w:sz w:val="22"/>
          <w:szCs w:val="22"/>
        </w:rPr>
      </w:pPr>
      <w:r w:rsidRPr="003639C8">
        <w:rPr>
          <w:sz w:val="22"/>
          <w:szCs w:val="22"/>
        </w:rPr>
        <w:t xml:space="preserve">The New Zealand Racing Board faces higher shares of the budget but lower levy rates than the 2013/14 to 2015/16 period under any of the four alternative weightings.  It faces a lower expected levy amount under three of the </w:t>
      </w:r>
      <w:r w:rsidR="00C027B3">
        <w:rPr>
          <w:sz w:val="22"/>
          <w:szCs w:val="22"/>
        </w:rPr>
        <w:t xml:space="preserve">four </w:t>
      </w:r>
      <w:r w:rsidRPr="003639C8">
        <w:rPr>
          <w:sz w:val="22"/>
          <w:szCs w:val="22"/>
        </w:rPr>
        <w:t>alternative levy rates, but a higher expected levy amount under the 0.57% levy rate that results from the 30/70 weighting.</w:t>
      </w:r>
      <w:r w:rsidR="005670A7" w:rsidRPr="003639C8">
        <w:rPr>
          <w:sz w:val="22"/>
          <w:szCs w:val="22"/>
        </w:rPr>
        <w:t xml:space="preserve">  These changes are largely the result of increases in its </w:t>
      </w:r>
      <w:r w:rsidR="0082556D">
        <w:rPr>
          <w:sz w:val="22"/>
          <w:szCs w:val="22"/>
        </w:rPr>
        <w:t>percentages</w:t>
      </w:r>
      <w:r w:rsidR="005670A7" w:rsidRPr="003639C8">
        <w:rPr>
          <w:sz w:val="22"/>
          <w:szCs w:val="22"/>
        </w:rPr>
        <w:t xml:space="preserve"> of both expenditure and presentations sometimes outweighing and sometimes being outwe</w:t>
      </w:r>
      <w:r w:rsidR="00C027B3">
        <w:rPr>
          <w:sz w:val="22"/>
          <w:szCs w:val="22"/>
        </w:rPr>
        <w:t>ighed by a requirement for it</w:t>
      </w:r>
      <w:r w:rsidR="005670A7" w:rsidRPr="003639C8">
        <w:rPr>
          <w:sz w:val="22"/>
          <w:szCs w:val="22"/>
        </w:rPr>
        <w:t xml:space="preserve"> </w:t>
      </w:r>
      <w:r w:rsidR="00C027B3">
        <w:rPr>
          <w:sz w:val="22"/>
          <w:szCs w:val="22"/>
        </w:rPr>
        <w:t xml:space="preserve">to be reimbursed an over-recovery of levy </w:t>
      </w:r>
      <w:r w:rsidR="005670A7" w:rsidRPr="003639C8">
        <w:rPr>
          <w:sz w:val="22"/>
          <w:szCs w:val="22"/>
        </w:rPr>
        <w:t>in previous periods.</w:t>
      </w:r>
    </w:p>
    <w:p w:rsidR="00F725F6" w:rsidRPr="003639C8" w:rsidRDefault="00F725F6" w:rsidP="00F725F6">
      <w:pPr>
        <w:rPr>
          <w:sz w:val="22"/>
          <w:szCs w:val="22"/>
        </w:rPr>
      </w:pPr>
    </w:p>
    <w:p w:rsidR="0066703F" w:rsidRDefault="00CF41A3" w:rsidP="0066703F">
      <w:pPr>
        <w:numPr>
          <w:ilvl w:val="0"/>
          <w:numId w:val="41"/>
        </w:numPr>
        <w:ind w:left="567" w:hanging="567"/>
        <w:rPr>
          <w:sz w:val="22"/>
          <w:szCs w:val="22"/>
        </w:rPr>
      </w:pPr>
      <w:r>
        <w:rPr>
          <w:sz w:val="22"/>
          <w:szCs w:val="22"/>
        </w:rPr>
        <w:t>In consultation, n</w:t>
      </w:r>
      <w:r w:rsidR="0066703F" w:rsidRPr="00C027B3">
        <w:rPr>
          <w:sz w:val="22"/>
          <w:szCs w:val="22"/>
        </w:rPr>
        <w:t xml:space="preserve">o submitters expressed a preference for the 5/95 weighting.  </w:t>
      </w:r>
      <w:r w:rsidR="0066703F">
        <w:rPr>
          <w:sz w:val="22"/>
          <w:szCs w:val="22"/>
        </w:rPr>
        <w:t>G</w:t>
      </w:r>
      <w:r w:rsidR="0066703F" w:rsidRPr="003639C8">
        <w:rPr>
          <w:sz w:val="22"/>
          <w:szCs w:val="22"/>
        </w:rPr>
        <w:t xml:space="preserve">ambling industry organisations preferred weightings that limited their own levy liabilities.  The casinos, the New Zealand Racing Board and the New Zealand Lotteries Commission supported the 10/90 weighting.  The NCGM sector preferred 30/70.  </w:t>
      </w:r>
      <w:r w:rsidR="0066703F" w:rsidRPr="00C027B3">
        <w:rPr>
          <w:sz w:val="22"/>
          <w:szCs w:val="22"/>
        </w:rPr>
        <w:t xml:space="preserve">One gambling harm service provider favoured 10/90.  One DHB, one gambling harm service provider and an individual agreed with the Ministry’s expressed preference for the 20/80 option.  Two gambling harm service providers and one academic organisation favoured 30/70.  </w:t>
      </w:r>
    </w:p>
    <w:p w:rsidR="0066703F" w:rsidRPr="00C027B3" w:rsidRDefault="0066703F" w:rsidP="0066703F">
      <w:pPr>
        <w:rPr>
          <w:sz w:val="22"/>
          <w:szCs w:val="22"/>
        </w:rPr>
      </w:pPr>
    </w:p>
    <w:p w:rsidR="0066703F" w:rsidRPr="0066703F" w:rsidRDefault="0066703F" w:rsidP="0066703F">
      <w:pPr>
        <w:numPr>
          <w:ilvl w:val="0"/>
          <w:numId w:val="41"/>
        </w:numPr>
        <w:ind w:left="567" w:hanging="567"/>
        <w:rPr>
          <w:sz w:val="22"/>
          <w:szCs w:val="22"/>
        </w:rPr>
      </w:pPr>
      <w:r>
        <w:rPr>
          <w:sz w:val="22"/>
          <w:szCs w:val="22"/>
        </w:rPr>
        <w:lastRenderedPageBreak/>
        <w:t xml:space="preserve">When </w:t>
      </w:r>
      <w:r w:rsidR="001C08D8">
        <w:rPr>
          <w:sz w:val="22"/>
          <w:szCs w:val="22"/>
        </w:rPr>
        <w:t xml:space="preserve">the levy </w:t>
      </w:r>
      <w:r w:rsidR="00CF41A3">
        <w:rPr>
          <w:sz w:val="22"/>
          <w:szCs w:val="22"/>
        </w:rPr>
        <w:t xml:space="preserve">for 2013/14 to 2015/16 </w:t>
      </w:r>
      <w:r>
        <w:rPr>
          <w:sz w:val="22"/>
          <w:szCs w:val="22"/>
        </w:rPr>
        <w:t>(</w:t>
      </w:r>
      <w:r w:rsidR="00CF41A3">
        <w:rPr>
          <w:sz w:val="22"/>
          <w:szCs w:val="22"/>
        </w:rPr>
        <w:t>the</w:t>
      </w:r>
      <w:r w:rsidR="00CF41A3" w:rsidRPr="00CF41A3">
        <w:rPr>
          <w:sz w:val="22"/>
          <w:szCs w:val="22"/>
        </w:rPr>
        <w:t xml:space="preserve"> </w:t>
      </w:r>
      <w:r w:rsidR="00CF41A3">
        <w:rPr>
          <w:sz w:val="22"/>
          <w:szCs w:val="22"/>
        </w:rPr>
        <w:t>current levy</w:t>
      </w:r>
      <w:r>
        <w:rPr>
          <w:sz w:val="22"/>
          <w:szCs w:val="22"/>
        </w:rPr>
        <w:t>) was set, both the Ministry and the Gambling Commission recommended the 30/70 weighting.  The Ministry proposed a 20/80 weighting for 2016/17 to 2018/19, and said that it considered any weighting from 30/70 to 5/95 to be reasonable, largely because it considered that changes it had made to the system for attributing presentations from 1 October 2011 meant that the arguments for the 30/70 weighting were no longer as strong</w:t>
      </w:r>
      <w:r>
        <w:rPr>
          <w:rFonts w:cs="Arial"/>
          <w:sz w:val="22"/>
          <w:szCs w:val="22"/>
        </w:rPr>
        <w:t xml:space="preserve">. </w:t>
      </w:r>
    </w:p>
    <w:p w:rsidR="003D102E" w:rsidRDefault="003D102E" w:rsidP="003D102E">
      <w:pPr>
        <w:rPr>
          <w:sz w:val="22"/>
          <w:szCs w:val="22"/>
        </w:rPr>
      </w:pPr>
    </w:p>
    <w:p w:rsidR="00B8423F" w:rsidRPr="00CC1340" w:rsidRDefault="00B8423F" w:rsidP="00B8423F">
      <w:pPr>
        <w:numPr>
          <w:ilvl w:val="0"/>
          <w:numId w:val="41"/>
        </w:numPr>
        <w:ind w:left="567" w:hanging="567"/>
        <w:rPr>
          <w:sz w:val="22"/>
          <w:szCs w:val="22"/>
        </w:rPr>
      </w:pPr>
      <w:r>
        <w:rPr>
          <w:sz w:val="22"/>
          <w:szCs w:val="22"/>
        </w:rPr>
        <w:t>Th</w:t>
      </w:r>
      <w:r w:rsidR="0066703F">
        <w:rPr>
          <w:sz w:val="22"/>
          <w:szCs w:val="22"/>
        </w:rPr>
        <w:t>e weighting was 10/90 (</w:t>
      </w:r>
      <w:r>
        <w:rPr>
          <w:sz w:val="22"/>
          <w:szCs w:val="22"/>
        </w:rPr>
        <w:t xml:space="preserve">10% on expenditure and 90% on presentations; </w:t>
      </w:r>
      <w:r w:rsidRPr="00D03F0D">
        <w:rPr>
          <w:b/>
          <w:sz w:val="22"/>
          <w:szCs w:val="22"/>
        </w:rPr>
        <w:t>W</w:t>
      </w:r>
      <w:r w:rsidRPr="00D03F0D">
        <w:rPr>
          <w:b/>
          <w:sz w:val="22"/>
          <w:szCs w:val="22"/>
          <w:vertAlign w:val="subscript"/>
        </w:rPr>
        <w:t>1</w:t>
      </w:r>
      <w:r>
        <w:rPr>
          <w:sz w:val="22"/>
          <w:szCs w:val="22"/>
        </w:rPr>
        <w:t xml:space="preserve"> = 0.1 and </w:t>
      </w:r>
      <w:r w:rsidRPr="00D03F0D">
        <w:rPr>
          <w:b/>
          <w:sz w:val="22"/>
          <w:szCs w:val="22"/>
        </w:rPr>
        <w:t>W</w:t>
      </w:r>
      <w:r w:rsidRPr="00D03F0D">
        <w:rPr>
          <w:b/>
          <w:sz w:val="22"/>
          <w:szCs w:val="22"/>
          <w:vertAlign w:val="subscript"/>
        </w:rPr>
        <w:t>2</w:t>
      </w:r>
      <w:r>
        <w:rPr>
          <w:sz w:val="22"/>
          <w:szCs w:val="22"/>
        </w:rPr>
        <w:t xml:space="preserve"> = 0.9) in all four levy periods to 30 June 2016.</w:t>
      </w:r>
    </w:p>
    <w:p w:rsidR="003D102E" w:rsidRPr="003A5BB9" w:rsidRDefault="003D102E" w:rsidP="003D102E">
      <w:pPr>
        <w:rPr>
          <w:rFonts w:cs="Arial"/>
          <w:sz w:val="22"/>
          <w:szCs w:val="22"/>
        </w:rPr>
      </w:pPr>
    </w:p>
    <w:p w:rsidR="00344683" w:rsidRPr="00705834" w:rsidRDefault="00CC0BB1" w:rsidP="00705834">
      <w:pPr>
        <w:numPr>
          <w:ilvl w:val="0"/>
          <w:numId w:val="41"/>
        </w:numPr>
        <w:ind w:left="567" w:hanging="567"/>
        <w:rPr>
          <w:sz w:val="22"/>
          <w:szCs w:val="22"/>
        </w:rPr>
      </w:pPr>
      <w:r>
        <w:rPr>
          <w:rFonts w:cs="Arial"/>
          <w:sz w:val="22"/>
          <w:szCs w:val="22"/>
        </w:rPr>
        <w:t xml:space="preserve">The </w:t>
      </w:r>
      <w:r w:rsidR="0066703F">
        <w:rPr>
          <w:rFonts w:cs="Arial"/>
          <w:sz w:val="22"/>
          <w:szCs w:val="22"/>
        </w:rPr>
        <w:t xml:space="preserve">Ministry’s </w:t>
      </w:r>
      <w:r>
        <w:rPr>
          <w:rFonts w:cs="Arial"/>
          <w:sz w:val="22"/>
          <w:szCs w:val="22"/>
        </w:rPr>
        <w:t>preferred option is the 20/80 weighting.</w:t>
      </w:r>
    </w:p>
    <w:p w:rsidR="00705834" w:rsidRDefault="00705834" w:rsidP="00705834">
      <w:pPr>
        <w:rPr>
          <w:sz w:val="22"/>
          <w:szCs w:val="22"/>
        </w:rPr>
      </w:pPr>
    </w:p>
    <w:p w:rsidR="00344683" w:rsidRDefault="00344683" w:rsidP="00344683">
      <w:pPr>
        <w:pStyle w:val="Heading3"/>
      </w:pPr>
      <w:r>
        <w:t>Gambling Commission’s independent advice</w:t>
      </w:r>
    </w:p>
    <w:p w:rsidR="00CC0BB1" w:rsidRPr="003424A1" w:rsidRDefault="00CC0BB1" w:rsidP="00705834">
      <w:pPr>
        <w:numPr>
          <w:ilvl w:val="0"/>
          <w:numId w:val="41"/>
        </w:numPr>
        <w:ind w:left="567" w:hanging="567"/>
        <w:rPr>
          <w:sz w:val="22"/>
          <w:szCs w:val="22"/>
        </w:rPr>
      </w:pPr>
      <w:r w:rsidRPr="003424A1">
        <w:rPr>
          <w:sz w:val="22"/>
          <w:szCs w:val="22"/>
        </w:rPr>
        <w:t xml:space="preserve">In its </w:t>
      </w:r>
      <w:r w:rsidR="00705834" w:rsidRPr="003424A1">
        <w:rPr>
          <w:sz w:val="22"/>
          <w:szCs w:val="22"/>
        </w:rPr>
        <w:t>report</w:t>
      </w:r>
      <w:r w:rsidRPr="003424A1">
        <w:rPr>
          <w:sz w:val="22"/>
          <w:szCs w:val="22"/>
        </w:rPr>
        <w:t>, t</w:t>
      </w:r>
      <w:r w:rsidRPr="003424A1">
        <w:rPr>
          <w:rFonts w:cs="Arial"/>
          <w:sz w:val="22"/>
          <w:szCs w:val="22"/>
        </w:rPr>
        <w:t>he Gambling Commission agreed with the Ministry’s expressed preference for the 20/80 weighting for the 2016/17 to 2018/19 period</w:t>
      </w:r>
      <w:r w:rsidR="00705834" w:rsidRPr="003424A1">
        <w:rPr>
          <w:sz w:val="22"/>
          <w:szCs w:val="22"/>
        </w:rPr>
        <w:t xml:space="preserve"> (Gambling Commission 2015)</w:t>
      </w:r>
      <w:r w:rsidRPr="003424A1">
        <w:rPr>
          <w:rFonts w:cs="Arial"/>
          <w:sz w:val="22"/>
          <w:szCs w:val="22"/>
        </w:rPr>
        <w:t>.</w:t>
      </w:r>
      <w:r w:rsidRPr="003424A1">
        <w:rPr>
          <w:sz w:val="22"/>
          <w:szCs w:val="22"/>
        </w:rPr>
        <w:t xml:space="preserve"> Unlike the Ministry, </w:t>
      </w:r>
      <w:r w:rsidRPr="003424A1">
        <w:rPr>
          <w:rFonts w:cs="Arial"/>
          <w:sz w:val="22"/>
          <w:szCs w:val="22"/>
        </w:rPr>
        <w:t xml:space="preserve">the Gambling Commission could see no justification for either a 5/95 or a 10/90 weighting.  </w:t>
      </w:r>
    </w:p>
    <w:p w:rsidR="00CC0BB1" w:rsidRPr="003424A1" w:rsidRDefault="00CC0BB1" w:rsidP="00705834">
      <w:pPr>
        <w:rPr>
          <w:sz w:val="22"/>
          <w:szCs w:val="22"/>
        </w:rPr>
      </w:pPr>
    </w:p>
    <w:p w:rsidR="00902727" w:rsidRPr="00902727" w:rsidRDefault="00CC0BB1" w:rsidP="00705834">
      <w:pPr>
        <w:numPr>
          <w:ilvl w:val="0"/>
          <w:numId w:val="41"/>
        </w:numPr>
        <w:ind w:left="567" w:hanging="567"/>
        <w:rPr>
          <w:sz w:val="22"/>
          <w:szCs w:val="22"/>
        </w:rPr>
      </w:pPr>
      <w:r>
        <w:rPr>
          <w:sz w:val="22"/>
          <w:szCs w:val="22"/>
        </w:rPr>
        <w:t xml:space="preserve">The Gambling Commission’s comments </w:t>
      </w:r>
      <w:r w:rsidR="00705834">
        <w:rPr>
          <w:sz w:val="22"/>
          <w:szCs w:val="22"/>
        </w:rPr>
        <w:t xml:space="preserve">on its reasoning can be summarised as </w:t>
      </w:r>
      <w:r w:rsidR="00902727" w:rsidRPr="00902727">
        <w:rPr>
          <w:sz w:val="22"/>
          <w:szCs w:val="22"/>
        </w:rPr>
        <w:t>follows:</w:t>
      </w:r>
    </w:p>
    <w:p w:rsidR="00705834" w:rsidRDefault="00705834" w:rsidP="00705834">
      <w:pPr>
        <w:numPr>
          <w:ilvl w:val="0"/>
          <w:numId w:val="13"/>
        </w:numPr>
        <w:spacing w:before="120"/>
        <w:ind w:left="993" w:hanging="426"/>
        <w:rPr>
          <w:sz w:val="22"/>
          <w:szCs w:val="22"/>
        </w:rPr>
      </w:pPr>
      <w:r w:rsidRPr="00705834">
        <w:rPr>
          <w:sz w:val="22"/>
          <w:szCs w:val="22"/>
        </w:rPr>
        <w:t xml:space="preserve">The Act’s definition of “harm” is very broad. </w:t>
      </w:r>
      <w:r>
        <w:rPr>
          <w:sz w:val="22"/>
          <w:szCs w:val="22"/>
        </w:rPr>
        <w:t xml:space="preserve"> </w:t>
      </w:r>
      <w:r w:rsidR="001D5F5E">
        <w:rPr>
          <w:sz w:val="22"/>
          <w:szCs w:val="22"/>
        </w:rPr>
        <w:t>However, p</w:t>
      </w:r>
      <w:r w:rsidRPr="00705834">
        <w:rPr>
          <w:sz w:val="22"/>
          <w:szCs w:val="22"/>
        </w:rPr>
        <w:t>resentations represent only a small subset of harm and one that tends to be at the acute end of the continuum.</w:t>
      </w:r>
      <w:r>
        <w:rPr>
          <w:sz w:val="22"/>
          <w:szCs w:val="22"/>
        </w:rPr>
        <w:t xml:space="preserve"> </w:t>
      </w:r>
      <w:r w:rsidRPr="00705834">
        <w:rPr>
          <w:sz w:val="22"/>
          <w:szCs w:val="22"/>
        </w:rPr>
        <w:t xml:space="preserve"> </w:t>
      </w:r>
    </w:p>
    <w:p w:rsidR="001D5F5E" w:rsidRDefault="00705834" w:rsidP="001D5F5E">
      <w:pPr>
        <w:numPr>
          <w:ilvl w:val="0"/>
          <w:numId w:val="13"/>
        </w:numPr>
        <w:spacing w:before="120"/>
        <w:ind w:left="993" w:hanging="426"/>
        <w:rPr>
          <w:sz w:val="22"/>
          <w:szCs w:val="22"/>
        </w:rPr>
      </w:pPr>
      <w:r w:rsidRPr="001D5F5E">
        <w:rPr>
          <w:sz w:val="22"/>
          <w:szCs w:val="22"/>
        </w:rPr>
        <w:t xml:space="preserve">Presentations </w:t>
      </w:r>
      <w:r w:rsidR="001D5F5E">
        <w:rPr>
          <w:sz w:val="22"/>
          <w:szCs w:val="22"/>
        </w:rPr>
        <w:t xml:space="preserve">are a head count of those who received an intervention other than a brief screening intervention.  That count </w:t>
      </w:r>
      <w:r w:rsidRPr="001D5F5E">
        <w:rPr>
          <w:sz w:val="22"/>
          <w:szCs w:val="22"/>
        </w:rPr>
        <w:t>pay</w:t>
      </w:r>
      <w:r w:rsidR="001D5F5E">
        <w:rPr>
          <w:sz w:val="22"/>
          <w:szCs w:val="22"/>
        </w:rPr>
        <w:t>s</w:t>
      </w:r>
      <w:r w:rsidRPr="001D5F5E">
        <w:rPr>
          <w:sz w:val="22"/>
          <w:szCs w:val="22"/>
        </w:rPr>
        <w:t xml:space="preserve"> no regard to the degree of harm suffered or the number of sessions provided to treat that harm. </w:t>
      </w:r>
    </w:p>
    <w:p w:rsidR="00705834" w:rsidRPr="001D5F5E" w:rsidRDefault="001D5F5E" w:rsidP="001D5F5E">
      <w:pPr>
        <w:numPr>
          <w:ilvl w:val="0"/>
          <w:numId w:val="13"/>
        </w:numPr>
        <w:spacing w:before="120"/>
        <w:ind w:left="993" w:hanging="426"/>
        <w:rPr>
          <w:sz w:val="22"/>
          <w:szCs w:val="22"/>
        </w:rPr>
      </w:pPr>
      <w:r>
        <w:rPr>
          <w:sz w:val="22"/>
          <w:szCs w:val="22"/>
        </w:rPr>
        <w:t>Therefore, t</w:t>
      </w:r>
      <w:r w:rsidR="00705834" w:rsidRPr="001D5F5E">
        <w:rPr>
          <w:sz w:val="22"/>
          <w:szCs w:val="22"/>
        </w:rPr>
        <w:t xml:space="preserve">oo heavy a weighting on presentations fails to recognise that presentations are not a sound proxy for </w:t>
      </w:r>
      <w:r>
        <w:rPr>
          <w:sz w:val="22"/>
          <w:szCs w:val="22"/>
        </w:rPr>
        <w:t>gambling harm</w:t>
      </w:r>
      <w:r w:rsidR="00705834" w:rsidRPr="001D5F5E">
        <w:rPr>
          <w:sz w:val="22"/>
          <w:szCs w:val="22"/>
        </w:rPr>
        <w:t xml:space="preserve">. </w:t>
      </w:r>
    </w:p>
    <w:p w:rsidR="00705834" w:rsidRDefault="001D5F5E" w:rsidP="00705834">
      <w:pPr>
        <w:numPr>
          <w:ilvl w:val="0"/>
          <w:numId w:val="13"/>
        </w:numPr>
        <w:spacing w:before="120"/>
        <w:ind w:left="993" w:hanging="426"/>
        <w:rPr>
          <w:sz w:val="22"/>
          <w:szCs w:val="22"/>
        </w:rPr>
      </w:pPr>
      <w:r>
        <w:rPr>
          <w:sz w:val="22"/>
          <w:szCs w:val="22"/>
        </w:rPr>
        <w:t>T</w:t>
      </w:r>
      <w:r w:rsidR="00705834" w:rsidRPr="00705834">
        <w:rPr>
          <w:sz w:val="22"/>
          <w:szCs w:val="22"/>
        </w:rPr>
        <w:t xml:space="preserve">he Strategy must include measures to promote public health, independent scientific research associated with gambling and evaluation. </w:t>
      </w:r>
      <w:r>
        <w:rPr>
          <w:sz w:val="22"/>
          <w:szCs w:val="22"/>
        </w:rPr>
        <w:t xml:space="preserve"> </w:t>
      </w:r>
      <w:r w:rsidR="00705834" w:rsidRPr="00705834">
        <w:rPr>
          <w:sz w:val="22"/>
          <w:szCs w:val="22"/>
        </w:rPr>
        <w:t xml:space="preserve">A gambling sector’s share of presentations is not necessarily an appropriate indicator for determining the share that a sector should bear of these costs. </w:t>
      </w:r>
      <w:r>
        <w:rPr>
          <w:sz w:val="22"/>
          <w:szCs w:val="22"/>
        </w:rPr>
        <w:t xml:space="preserve"> </w:t>
      </w:r>
      <w:r w:rsidR="00705834" w:rsidRPr="00705834">
        <w:rPr>
          <w:sz w:val="22"/>
          <w:szCs w:val="22"/>
        </w:rPr>
        <w:t xml:space="preserve">The weighting between expenditure and presentations should spread the burden fairly across the four levy paying sectors. </w:t>
      </w:r>
    </w:p>
    <w:p w:rsidR="00705834" w:rsidRDefault="001D5F5E" w:rsidP="00705834">
      <w:pPr>
        <w:numPr>
          <w:ilvl w:val="0"/>
          <w:numId w:val="13"/>
        </w:numPr>
        <w:spacing w:before="120"/>
        <w:ind w:left="993" w:hanging="426"/>
        <w:rPr>
          <w:sz w:val="22"/>
          <w:szCs w:val="22"/>
        </w:rPr>
      </w:pPr>
      <w:r>
        <w:rPr>
          <w:sz w:val="22"/>
          <w:szCs w:val="22"/>
        </w:rPr>
        <w:t>Therefore, a</w:t>
      </w:r>
      <w:r w:rsidR="00705834" w:rsidRPr="00705834">
        <w:rPr>
          <w:sz w:val="22"/>
          <w:szCs w:val="22"/>
        </w:rPr>
        <w:t xml:space="preserve"> weighting of either 5:95 or 10:90 is inconsistent </w:t>
      </w:r>
      <w:r>
        <w:rPr>
          <w:sz w:val="22"/>
          <w:szCs w:val="22"/>
        </w:rPr>
        <w:t xml:space="preserve">with a public health approach. </w:t>
      </w:r>
    </w:p>
    <w:p w:rsidR="00705834" w:rsidRDefault="00705834" w:rsidP="00705834">
      <w:pPr>
        <w:numPr>
          <w:ilvl w:val="0"/>
          <w:numId w:val="13"/>
        </w:numPr>
        <w:spacing w:before="120"/>
        <w:ind w:left="993" w:hanging="426"/>
        <w:rPr>
          <w:sz w:val="22"/>
          <w:szCs w:val="22"/>
        </w:rPr>
      </w:pPr>
      <w:r w:rsidRPr="00705834">
        <w:rPr>
          <w:sz w:val="22"/>
          <w:szCs w:val="22"/>
        </w:rPr>
        <w:t>As the NCGM sector generates the most expenditure and presentations, it will contribu</w:t>
      </w:r>
      <w:r w:rsidR="001D5F5E">
        <w:rPr>
          <w:sz w:val="22"/>
          <w:szCs w:val="22"/>
        </w:rPr>
        <w:t>te the most to the cost of the S</w:t>
      </w:r>
      <w:r w:rsidRPr="00705834">
        <w:rPr>
          <w:sz w:val="22"/>
          <w:szCs w:val="22"/>
        </w:rPr>
        <w:t xml:space="preserve">trategy at a range of weightings. </w:t>
      </w:r>
    </w:p>
    <w:p w:rsidR="00985296" w:rsidRDefault="00705834" w:rsidP="00705834">
      <w:pPr>
        <w:numPr>
          <w:ilvl w:val="0"/>
          <w:numId w:val="13"/>
        </w:numPr>
        <w:spacing w:before="120"/>
        <w:ind w:left="993" w:hanging="426"/>
        <w:rPr>
          <w:sz w:val="22"/>
          <w:szCs w:val="22"/>
        </w:rPr>
      </w:pPr>
      <w:r w:rsidRPr="00705834">
        <w:rPr>
          <w:sz w:val="22"/>
          <w:szCs w:val="22"/>
        </w:rPr>
        <w:t>The NCGM sector’s share of overall expenditure and presentations is declining, while expenditure and presentations are increasing for the three other sectors subject to the levy.</w:t>
      </w:r>
      <w:r w:rsidR="001D5F5E">
        <w:rPr>
          <w:sz w:val="22"/>
          <w:szCs w:val="22"/>
        </w:rPr>
        <w:t xml:space="preserve"> </w:t>
      </w:r>
      <w:r w:rsidRPr="00705834">
        <w:rPr>
          <w:sz w:val="22"/>
          <w:szCs w:val="22"/>
        </w:rPr>
        <w:t xml:space="preserve"> However, the effect of the new </w:t>
      </w:r>
      <w:r w:rsidR="001D5F5E">
        <w:rPr>
          <w:sz w:val="22"/>
          <w:szCs w:val="22"/>
        </w:rPr>
        <w:t xml:space="preserve">variable </w:t>
      </w:r>
      <w:r w:rsidRPr="001D5F5E">
        <w:rPr>
          <w:b/>
          <w:sz w:val="22"/>
          <w:szCs w:val="22"/>
        </w:rPr>
        <w:t>R</w:t>
      </w:r>
      <w:r w:rsidRPr="00705834">
        <w:rPr>
          <w:sz w:val="22"/>
          <w:szCs w:val="22"/>
        </w:rPr>
        <w:t xml:space="preserve"> means that only the reduction in expected expenditure and not the reduction in presentations is taken account of in hindsight readjustment.</w:t>
      </w:r>
    </w:p>
    <w:p w:rsidR="008271B1" w:rsidRPr="008271B1" w:rsidRDefault="008271B1" w:rsidP="008271B1">
      <w:pPr>
        <w:pStyle w:val="Heading3"/>
        <w:keepNext w:val="0"/>
        <w:spacing w:before="0" w:after="0"/>
        <w:rPr>
          <w:b w:val="0"/>
          <w:sz w:val="22"/>
          <w:szCs w:val="22"/>
        </w:rPr>
      </w:pPr>
    </w:p>
    <w:p w:rsidR="009F2D15" w:rsidRPr="00B77D78" w:rsidRDefault="008E0FC1" w:rsidP="000033E3">
      <w:pPr>
        <w:pStyle w:val="Heading3"/>
      </w:pPr>
      <w:r>
        <w:t>Impact of the weighting option</w:t>
      </w:r>
      <w:r w:rsidR="009F2D15" w:rsidRPr="00B77D78">
        <w:t xml:space="preserve"> </w:t>
      </w:r>
      <w:r>
        <w:t>chosen</w:t>
      </w:r>
    </w:p>
    <w:p w:rsidR="009F2D15" w:rsidRPr="0066703F" w:rsidRDefault="0066703F" w:rsidP="0066703F">
      <w:pPr>
        <w:numPr>
          <w:ilvl w:val="0"/>
          <w:numId w:val="41"/>
        </w:numPr>
        <w:ind w:left="567" w:hanging="567"/>
        <w:rPr>
          <w:sz w:val="22"/>
          <w:szCs w:val="22"/>
        </w:rPr>
      </w:pPr>
      <w:r>
        <w:rPr>
          <w:sz w:val="22"/>
          <w:szCs w:val="22"/>
        </w:rPr>
        <w:t>The weighting</w:t>
      </w:r>
      <w:r w:rsidR="00905FC3">
        <w:rPr>
          <w:sz w:val="22"/>
          <w:szCs w:val="22"/>
        </w:rPr>
        <w:t xml:space="preserve"> do</w:t>
      </w:r>
      <w:r>
        <w:rPr>
          <w:sz w:val="22"/>
          <w:szCs w:val="22"/>
        </w:rPr>
        <w:t>es</w:t>
      </w:r>
      <w:r w:rsidR="00905FC3">
        <w:rPr>
          <w:sz w:val="22"/>
          <w:szCs w:val="22"/>
        </w:rPr>
        <w:t xml:space="preserve"> not affect the total </w:t>
      </w:r>
      <w:r w:rsidR="00905FC3" w:rsidRPr="002840AF">
        <w:rPr>
          <w:sz w:val="22"/>
          <w:szCs w:val="22"/>
        </w:rPr>
        <w:t>levy</w:t>
      </w:r>
      <w:r w:rsidR="00905FC3">
        <w:rPr>
          <w:sz w:val="22"/>
          <w:szCs w:val="22"/>
        </w:rPr>
        <w:t xml:space="preserve"> requirement</w:t>
      </w:r>
      <w:r w:rsidR="00905FC3" w:rsidRPr="002840AF">
        <w:rPr>
          <w:sz w:val="22"/>
          <w:szCs w:val="22"/>
        </w:rPr>
        <w:t xml:space="preserve">. </w:t>
      </w:r>
      <w:r w:rsidR="00905FC3">
        <w:rPr>
          <w:sz w:val="22"/>
          <w:szCs w:val="22"/>
        </w:rPr>
        <w:t xml:space="preserve"> </w:t>
      </w:r>
      <w:r>
        <w:rPr>
          <w:sz w:val="22"/>
          <w:szCs w:val="22"/>
        </w:rPr>
        <w:t>It</w:t>
      </w:r>
      <w:r w:rsidR="00905FC3" w:rsidRPr="002840AF">
        <w:rPr>
          <w:sz w:val="22"/>
          <w:szCs w:val="22"/>
        </w:rPr>
        <w:t xml:space="preserve"> only affects the </w:t>
      </w:r>
      <w:r w:rsidR="00905FC3">
        <w:rPr>
          <w:sz w:val="22"/>
          <w:szCs w:val="22"/>
        </w:rPr>
        <w:t>portion</w:t>
      </w:r>
      <w:r w:rsidR="00905FC3" w:rsidRPr="002840AF">
        <w:rPr>
          <w:sz w:val="22"/>
          <w:szCs w:val="22"/>
        </w:rPr>
        <w:t xml:space="preserve"> of the levy </w:t>
      </w:r>
      <w:r w:rsidR="00905FC3">
        <w:rPr>
          <w:sz w:val="22"/>
          <w:szCs w:val="22"/>
        </w:rPr>
        <w:t>that</w:t>
      </w:r>
      <w:r w:rsidR="00905FC3" w:rsidRPr="002840AF">
        <w:rPr>
          <w:sz w:val="22"/>
          <w:szCs w:val="22"/>
        </w:rPr>
        <w:t xml:space="preserve"> each </w:t>
      </w:r>
      <w:r w:rsidR="00905FC3">
        <w:rPr>
          <w:sz w:val="22"/>
          <w:szCs w:val="22"/>
        </w:rPr>
        <w:t xml:space="preserve">levy-paying </w:t>
      </w:r>
      <w:r w:rsidR="00905FC3" w:rsidRPr="002840AF">
        <w:rPr>
          <w:sz w:val="22"/>
          <w:szCs w:val="22"/>
        </w:rPr>
        <w:t>sector</w:t>
      </w:r>
      <w:r w:rsidR="00905FC3">
        <w:rPr>
          <w:sz w:val="22"/>
          <w:szCs w:val="22"/>
        </w:rPr>
        <w:t xml:space="preserve"> is expected to pay</w:t>
      </w:r>
      <w:r w:rsidR="00905FC3" w:rsidRPr="002840AF">
        <w:rPr>
          <w:sz w:val="22"/>
          <w:szCs w:val="22"/>
        </w:rPr>
        <w:t>.</w:t>
      </w:r>
      <w:r>
        <w:rPr>
          <w:sz w:val="22"/>
          <w:szCs w:val="22"/>
        </w:rPr>
        <w:t xml:space="preserve">  </w:t>
      </w:r>
      <w:r w:rsidR="005F2B16" w:rsidRPr="0066703F">
        <w:rPr>
          <w:sz w:val="22"/>
          <w:szCs w:val="22"/>
        </w:rPr>
        <w:t>The</w:t>
      </w:r>
      <w:r w:rsidR="009F2D15" w:rsidRPr="0066703F">
        <w:rPr>
          <w:sz w:val="22"/>
          <w:szCs w:val="22"/>
        </w:rPr>
        <w:t xml:space="preserve"> weighting option </w:t>
      </w:r>
      <w:r w:rsidR="005F2B16" w:rsidRPr="0066703F">
        <w:rPr>
          <w:sz w:val="22"/>
          <w:szCs w:val="22"/>
        </w:rPr>
        <w:t xml:space="preserve">chosen is not expected to </w:t>
      </w:r>
      <w:r w:rsidR="009F2D15" w:rsidRPr="0066703F">
        <w:rPr>
          <w:sz w:val="22"/>
          <w:szCs w:val="22"/>
        </w:rPr>
        <w:t xml:space="preserve">have a </w:t>
      </w:r>
      <w:r w:rsidR="005F2B16" w:rsidRPr="0066703F">
        <w:rPr>
          <w:sz w:val="22"/>
          <w:szCs w:val="22"/>
        </w:rPr>
        <w:t>significant impact on consumers</w:t>
      </w:r>
      <w:r w:rsidR="003F4C13" w:rsidRPr="0066703F">
        <w:rPr>
          <w:sz w:val="22"/>
          <w:szCs w:val="22"/>
        </w:rPr>
        <w:t xml:space="preserve">. </w:t>
      </w:r>
      <w:r w:rsidR="00D9792F">
        <w:rPr>
          <w:sz w:val="22"/>
          <w:szCs w:val="22"/>
        </w:rPr>
        <w:t>However, i</w:t>
      </w:r>
      <w:r w:rsidR="00F23EF6" w:rsidRPr="0066703F">
        <w:rPr>
          <w:sz w:val="22"/>
          <w:szCs w:val="22"/>
        </w:rPr>
        <w:t xml:space="preserve">t will have an impact on </w:t>
      </w:r>
      <w:r w:rsidR="00603A58" w:rsidRPr="0066703F">
        <w:rPr>
          <w:sz w:val="22"/>
          <w:szCs w:val="22"/>
        </w:rPr>
        <w:t xml:space="preserve">the </w:t>
      </w:r>
      <w:r w:rsidR="00F23EF6" w:rsidRPr="0066703F">
        <w:rPr>
          <w:sz w:val="22"/>
          <w:szCs w:val="22"/>
        </w:rPr>
        <w:t xml:space="preserve">amount of money that </w:t>
      </w:r>
      <w:r w:rsidR="009B1CCB" w:rsidRPr="0066703F">
        <w:rPr>
          <w:sz w:val="22"/>
          <w:szCs w:val="22"/>
        </w:rPr>
        <w:t>NCGM</w:t>
      </w:r>
      <w:r w:rsidR="00F23EF6" w:rsidRPr="0066703F">
        <w:rPr>
          <w:sz w:val="22"/>
          <w:szCs w:val="22"/>
        </w:rPr>
        <w:t xml:space="preserve"> operators and the New Zealand Lotteries Commission have available for allocation to community purposes, the amount the New Zealand Racing Board can distribute to the racing industry</w:t>
      </w:r>
      <w:r w:rsidR="00B3297B" w:rsidRPr="0066703F">
        <w:rPr>
          <w:sz w:val="22"/>
          <w:szCs w:val="22"/>
        </w:rPr>
        <w:t>,</w:t>
      </w:r>
      <w:r w:rsidR="00F23EF6" w:rsidRPr="0066703F">
        <w:rPr>
          <w:sz w:val="22"/>
          <w:szCs w:val="22"/>
        </w:rPr>
        <w:t xml:space="preserve"> and </w:t>
      </w:r>
      <w:r w:rsidR="00005423" w:rsidRPr="0066703F">
        <w:rPr>
          <w:sz w:val="22"/>
          <w:szCs w:val="22"/>
        </w:rPr>
        <w:t xml:space="preserve">the six </w:t>
      </w:r>
      <w:r w:rsidR="00F23EF6" w:rsidRPr="0066703F">
        <w:rPr>
          <w:sz w:val="22"/>
          <w:szCs w:val="22"/>
        </w:rPr>
        <w:t xml:space="preserve">casinos’ </w:t>
      </w:r>
      <w:r w:rsidR="00D46856" w:rsidRPr="0066703F">
        <w:rPr>
          <w:sz w:val="22"/>
          <w:szCs w:val="22"/>
        </w:rPr>
        <w:t xml:space="preserve">net </w:t>
      </w:r>
      <w:r w:rsidR="00F23EF6" w:rsidRPr="0066703F">
        <w:rPr>
          <w:sz w:val="22"/>
          <w:szCs w:val="22"/>
        </w:rPr>
        <w:t>profits</w:t>
      </w:r>
      <w:r w:rsidR="009F2D15" w:rsidRPr="0066703F">
        <w:rPr>
          <w:sz w:val="22"/>
          <w:szCs w:val="22"/>
        </w:rPr>
        <w:t>.</w:t>
      </w:r>
      <w:r w:rsidR="005F2B16" w:rsidRPr="0066703F">
        <w:rPr>
          <w:sz w:val="22"/>
          <w:szCs w:val="22"/>
        </w:rPr>
        <w:t xml:space="preserve"> </w:t>
      </w:r>
    </w:p>
    <w:p w:rsidR="009F2D15" w:rsidRPr="00B77D78" w:rsidRDefault="000C7147" w:rsidP="00497D68">
      <w:pPr>
        <w:pStyle w:val="Heading1"/>
        <w:ind w:left="0" w:firstLine="0"/>
      </w:pPr>
      <w:bookmarkStart w:id="46" w:name="_Toc259613872"/>
      <w:r>
        <w:br w:type="page"/>
      </w:r>
      <w:bookmarkStart w:id="47" w:name="_Toc440029225"/>
      <w:r w:rsidR="009F2D15" w:rsidRPr="00B77D78">
        <w:lastRenderedPageBreak/>
        <w:t>Consultation</w:t>
      </w:r>
      <w:bookmarkEnd w:id="46"/>
      <w:bookmarkEnd w:id="47"/>
    </w:p>
    <w:p w:rsidR="00BE4E92" w:rsidRDefault="00247FC7" w:rsidP="00C90210">
      <w:pPr>
        <w:numPr>
          <w:ilvl w:val="0"/>
          <w:numId w:val="41"/>
        </w:numPr>
        <w:ind w:left="567" w:hanging="567"/>
        <w:rPr>
          <w:sz w:val="22"/>
          <w:szCs w:val="22"/>
        </w:rPr>
      </w:pPr>
      <w:bookmarkStart w:id="48" w:name="_Toc259613873"/>
      <w:r w:rsidRPr="00247FC7">
        <w:rPr>
          <w:sz w:val="22"/>
          <w:szCs w:val="22"/>
        </w:rPr>
        <w:t xml:space="preserve">The Act details a lengthy consultation </w:t>
      </w:r>
      <w:r>
        <w:rPr>
          <w:sz w:val="22"/>
          <w:szCs w:val="22"/>
        </w:rPr>
        <w:t>process.</w:t>
      </w:r>
      <w:r w:rsidRPr="00247FC7">
        <w:rPr>
          <w:sz w:val="22"/>
          <w:szCs w:val="22"/>
        </w:rPr>
        <w:t xml:space="preserve"> </w:t>
      </w:r>
      <w:r w:rsidR="006D40D2">
        <w:rPr>
          <w:sz w:val="22"/>
          <w:szCs w:val="22"/>
        </w:rPr>
        <w:t xml:space="preserve"> </w:t>
      </w:r>
      <w:r w:rsidR="00874298">
        <w:rPr>
          <w:sz w:val="22"/>
          <w:szCs w:val="22"/>
        </w:rPr>
        <w:t>T</w:t>
      </w:r>
      <w:r w:rsidRPr="00247FC7">
        <w:rPr>
          <w:sz w:val="22"/>
          <w:szCs w:val="22"/>
        </w:rPr>
        <w:t xml:space="preserve">he Ministry </w:t>
      </w:r>
      <w:r w:rsidR="00874298">
        <w:rPr>
          <w:sz w:val="22"/>
          <w:szCs w:val="22"/>
        </w:rPr>
        <w:t>must</w:t>
      </w:r>
      <w:r w:rsidRPr="00247FC7">
        <w:rPr>
          <w:sz w:val="22"/>
          <w:szCs w:val="22"/>
        </w:rPr>
        <w:t xml:space="preserve"> undertake a needs assessment, prepare a draft </w:t>
      </w:r>
      <w:r w:rsidR="006D40D2">
        <w:rPr>
          <w:sz w:val="22"/>
          <w:szCs w:val="22"/>
        </w:rPr>
        <w:t>strategy</w:t>
      </w:r>
      <w:r w:rsidRPr="00247FC7">
        <w:rPr>
          <w:sz w:val="22"/>
          <w:szCs w:val="22"/>
        </w:rPr>
        <w:t xml:space="preserve"> with costings, and </w:t>
      </w:r>
      <w:r w:rsidR="009B1CCB">
        <w:rPr>
          <w:sz w:val="22"/>
          <w:szCs w:val="22"/>
        </w:rPr>
        <w:t>estimate</w:t>
      </w:r>
      <w:r w:rsidR="009E51C2">
        <w:rPr>
          <w:sz w:val="22"/>
          <w:szCs w:val="22"/>
        </w:rPr>
        <w:t xml:space="preserve"> levy rates </w:t>
      </w:r>
      <w:r w:rsidRPr="00247FC7">
        <w:rPr>
          <w:sz w:val="22"/>
          <w:szCs w:val="22"/>
        </w:rPr>
        <w:t xml:space="preserve">for </w:t>
      </w:r>
      <w:r w:rsidR="009E51C2">
        <w:rPr>
          <w:sz w:val="22"/>
          <w:szCs w:val="22"/>
        </w:rPr>
        <w:t>the</w:t>
      </w:r>
      <w:r w:rsidRPr="00247FC7">
        <w:rPr>
          <w:sz w:val="22"/>
          <w:szCs w:val="22"/>
        </w:rPr>
        <w:t xml:space="preserve"> affected gambling sector</w:t>
      </w:r>
      <w:r w:rsidR="009E51C2">
        <w:rPr>
          <w:sz w:val="22"/>
          <w:szCs w:val="22"/>
        </w:rPr>
        <w:t>s</w:t>
      </w:r>
      <w:r>
        <w:rPr>
          <w:sz w:val="22"/>
          <w:szCs w:val="22"/>
        </w:rPr>
        <w:t xml:space="preserve">. </w:t>
      </w:r>
      <w:r w:rsidR="006D40D2">
        <w:rPr>
          <w:sz w:val="22"/>
          <w:szCs w:val="22"/>
        </w:rPr>
        <w:t xml:space="preserve"> </w:t>
      </w:r>
      <w:r w:rsidRPr="00247FC7">
        <w:rPr>
          <w:sz w:val="22"/>
          <w:szCs w:val="22"/>
        </w:rPr>
        <w:t xml:space="preserve">The Ministry </w:t>
      </w:r>
      <w:r w:rsidR="00874298">
        <w:rPr>
          <w:sz w:val="22"/>
          <w:szCs w:val="22"/>
        </w:rPr>
        <w:t>then</w:t>
      </w:r>
      <w:r w:rsidRPr="00247FC7">
        <w:rPr>
          <w:sz w:val="22"/>
          <w:szCs w:val="22"/>
        </w:rPr>
        <w:t xml:space="preserve"> consult</w:t>
      </w:r>
      <w:r w:rsidR="00874298">
        <w:rPr>
          <w:sz w:val="22"/>
          <w:szCs w:val="22"/>
        </w:rPr>
        <w:t>s</w:t>
      </w:r>
      <w:r w:rsidRPr="00247FC7">
        <w:rPr>
          <w:sz w:val="22"/>
          <w:szCs w:val="22"/>
        </w:rPr>
        <w:t xml:space="preserve"> relevant gambling operators, problem gambling service providers</w:t>
      </w:r>
      <w:r w:rsidR="006D40D2">
        <w:rPr>
          <w:sz w:val="22"/>
          <w:szCs w:val="22"/>
        </w:rPr>
        <w:t>, and any other groups that it considers are likely to be affected significantly by the proposed strategy</w:t>
      </w:r>
      <w:r w:rsidRPr="00247FC7">
        <w:rPr>
          <w:sz w:val="22"/>
          <w:szCs w:val="22"/>
        </w:rPr>
        <w:t>.</w:t>
      </w:r>
      <w:r w:rsidR="006D40D2">
        <w:rPr>
          <w:sz w:val="22"/>
          <w:szCs w:val="22"/>
        </w:rPr>
        <w:t xml:space="preserve"> </w:t>
      </w:r>
      <w:r>
        <w:rPr>
          <w:sz w:val="22"/>
          <w:szCs w:val="22"/>
        </w:rPr>
        <w:t xml:space="preserve"> </w:t>
      </w:r>
      <w:r w:rsidR="00874298">
        <w:rPr>
          <w:sz w:val="22"/>
          <w:szCs w:val="22"/>
        </w:rPr>
        <w:t>It</w:t>
      </w:r>
      <w:r w:rsidRPr="00247FC7">
        <w:rPr>
          <w:sz w:val="22"/>
          <w:szCs w:val="22"/>
        </w:rPr>
        <w:t xml:space="preserve"> revises its proposals before submitting them to Ministers of Health and Internal Affairs, and to the Gambling Co</w:t>
      </w:r>
      <w:r>
        <w:rPr>
          <w:sz w:val="22"/>
          <w:szCs w:val="22"/>
        </w:rPr>
        <w:t>mmission.</w:t>
      </w:r>
      <w:r w:rsidR="006D40D2">
        <w:rPr>
          <w:sz w:val="22"/>
          <w:szCs w:val="22"/>
        </w:rPr>
        <w:t xml:space="preserve"> </w:t>
      </w:r>
      <w:r>
        <w:rPr>
          <w:sz w:val="22"/>
          <w:szCs w:val="22"/>
        </w:rPr>
        <w:t xml:space="preserve"> </w:t>
      </w:r>
      <w:r w:rsidRPr="00247FC7">
        <w:rPr>
          <w:sz w:val="22"/>
          <w:szCs w:val="22"/>
        </w:rPr>
        <w:t xml:space="preserve">The Gambling Commission undertakes an independent analysis of the </w:t>
      </w:r>
      <w:r w:rsidR="00BE4E92">
        <w:rPr>
          <w:sz w:val="22"/>
          <w:szCs w:val="22"/>
        </w:rPr>
        <w:t xml:space="preserve">Ministry’s </w:t>
      </w:r>
      <w:r w:rsidRPr="00247FC7">
        <w:rPr>
          <w:sz w:val="22"/>
          <w:szCs w:val="22"/>
        </w:rPr>
        <w:t xml:space="preserve">proposals, convenes its own consultation meeting and provides its own advice to Ministers. </w:t>
      </w:r>
    </w:p>
    <w:p w:rsidR="00BE4E92" w:rsidRDefault="00BE4E92" w:rsidP="00C90210">
      <w:pPr>
        <w:rPr>
          <w:sz w:val="22"/>
          <w:szCs w:val="22"/>
        </w:rPr>
      </w:pPr>
    </w:p>
    <w:p w:rsidR="00247FC7" w:rsidRDefault="00727BC9" w:rsidP="00C90210">
      <w:pPr>
        <w:numPr>
          <w:ilvl w:val="0"/>
          <w:numId w:val="41"/>
        </w:numPr>
        <w:ind w:left="567" w:hanging="567"/>
        <w:rPr>
          <w:sz w:val="22"/>
          <w:szCs w:val="22"/>
        </w:rPr>
      </w:pPr>
      <w:r>
        <w:rPr>
          <w:sz w:val="22"/>
          <w:szCs w:val="22"/>
        </w:rPr>
        <w:t>T</w:t>
      </w:r>
      <w:r w:rsidR="00CD5879">
        <w:rPr>
          <w:sz w:val="22"/>
          <w:szCs w:val="22"/>
        </w:rPr>
        <w:t>he Ministry and the Gambli</w:t>
      </w:r>
      <w:r w:rsidR="00BE4E92">
        <w:rPr>
          <w:sz w:val="22"/>
          <w:szCs w:val="22"/>
        </w:rPr>
        <w:t>ng Commission followed the</w:t>
      </w:r>
      <w:r w:rsidR="00CD5879">
        <w:rPr>
          <w:sz w:val="22"/>
          <w:szCs w:val="22"/>
        </w:rPr>
        <w:t xml:space="preserve"> process</w:t>
      </w:r>
      <w:r w:rsidR="00BE4E92">
        <w:rPr>
          <w:sz w:val="22"/>
          <w:szCs w:val="22"/>
        </w:rPr>
        <w:t xml:space="preserve"> set out in the Act</w:t>
      </w:r>
      <w:r w:rsidR="00247FC7">
        <w:rPr>
          <w:sz w:val="22"/>
          <w:szCs w:val="22"/>
        </w:rPr>
        <w:t>.</w:t>
      </w:r>
    </w:p>
    <w:p w:rsidR="00915E93" w:rsidRPr="00247FC7" w:rsidRDefault="00915E93" w:rsidP="00247FC7">
      <w:pPr>
        <w:rPr>
          <w:sz w:val="22"/>
          <w:szCs w:val="22"/>
          <w:lang w:eastAsia="en-US"/>
        </w:rPr>
      </w:pPr>
    </w:p>
    <w:p w:rsidR="009F2D15" w:rsidRPr="00B77D78" w:rsidRDefault="009F2D15" w:rsidP="000C7147">
      <w:pPr>
        <w:pStyle w:val="Heading2"/>
      </w:pPr>
      <w:bookmarkStart w:id="49" w:name="_Toc440029226"/>
      <w:r w:rsidRPr="00B77D78">
        <w:t>Who has been consulted</w:t>
      </w:r>
      <w:bookmarkEnd w:id="48"/>
      <w:r w:rsidR="00057433">
        <w:t xml:space="preserve"> and the form of the consultation</w:t>
      </w:r>
      <w:bookmarkEnd w:id="49"/>
    </w:p>
    <w:p w:rsidR="000D42F2" w:rsidRPr="00BE0129" w:rsidRDefault="00BE0129" w:rsidP="00C90210">
      <w:pPr>
        <w:numPr>
          <w:ilvl w:val="0"/>
          <w:numId w:val="41"/>
        </w:numPr>
        <w:ind w:left="567" w:hanging="567"/>
        <w:rPr>
          <w:sz w:val="22"/>
          <w:szCs w:val="22"/>
        </w:rPr>
      </w:pPr>
      <w:r w:rsidRPr="00BE0129">
        <w:rPr>
          <w:sz w:val="22"/>
          <w:szCs w:val="22"/>
        </w:rPr>
        <w:t>Government</w:t>
      </w:r>
      <w:r w:rsidR="009F2D15" w:rsidRPr="00BE0129">
        <w:rPr>
          <w:sz w:val="22"/>
          <w:szCs w:val="22"/>
        </w:rPr>
        <w:t xml:space="preserve"> agencies consulted </w:t>
      </w:r>
      <w:r w:rsidR="00415C66">
        <w:rPr>
          <w:sz w:val="22"/>
          <w:szCs w:val="22"/>
        </w:rPr>
        <w:t>before release of</w:t>
      </w:r>
      <w:r w:rsidRPr="00BE0129">
        <w:rPr>
          <w:sz w:val="22"/>
          <w:szCs w:val="22"/>
        </w:rPr>
        <w:t xml:space="preserve"> the </w:t>
      </w:r>
      <w:r w:rsidR="00C90210">
        <w:rPr>
          <w:sz w:val="22"/>
          <w:szCs w:val="22"/>
        </w:rPr>
        <w:t>c</w:t>
      </w:r>
      <w:r w:rsidRPr="00BE0129">
        <w:rPr>
          <w:sz w:val="22"/>
          <w:szCs w:val="22"/>
        </w:rPr>
        <w:t>onsultation document were:</w:t>
      </w:r>
    </w:p>
    <w:p w:rsidR="009F2D15" w:rsidRPr="00BE0129" w:rsidRDefault="009F2D15" w:rsidP="00DB7A1A">
      <w:pPr>
        <w:numPr>
          <w:ilvl w:val="0"/>
          <w:numId w:val="13"/>
        </w:numPr>
        <w:spacing w:before="120"/>
        <w:ind w:left="993" w:hanging="426"/>
        <w:rPr>
          <w:sz w:val="22"/>
          <w:szCs w:val="22"/>
        </w:rPr>
      </w:pPr>
      <w:r w:rsidRPr="00BE0129">
        <w:rPr>
          <w:sz w:val="22"/>
          <w:szCs w:val="22"/>
        </w:rPr>
        <w:t>the Department of Corrections</w:t>
      </w:r>
    </w:p>
    <w:p w:rsidR="009F2D15" w:rsidRPr="00BE0129" w:rsidRDefault="009F2D15" w:rsidP="00DB7A1A">
      <w:pPr>
        <w:numPr>
          <w:ilvl w:val="0"/>
          <w:numId w:val="13"/>
        </w:numPr>
        <w:spacing w:before="120"/>
        <w:ind w:left="993" w:hanging="426"/>
        <w:rPr>
          <w:sz w:val="22"/>
          <w:szCs w:val="22"/>
        </w:rPr>
      </w:pPr>
      <w:r w:rsidRPr="00BE0129">
        <w:rPr>
          <w:sz w:val="22"/>
          <w:szCs w:val="22"/>
        </w:rPr>
        <w:t>the Department of Internal Affairs</w:t>
      </w:r>
    </w:p>
    <w:p w:rsidR="000D42F2" w:rsidRPr="00BE0129" w:rsidRDefault="009F2D15" w:rsidP="00DB7A1A">
      <w:pPr>
        <w:numPr>
          <w:ilvl w:val="0"/>
          <w:numId w:val="13"/>
        </w:numPr>
        <w:spacing w:before="120"/>
        <w:ind w:left="993" w:hanging="426"/>
        <w:rPr>
          <w:sz w:val="22"/>
          <w:szCs w:val="22"/>
        </w:rPr>
      </w:pPr>
      <w:r w:rsidRPr="00BE0129">
        <w:rPr>
          <w:sz w:val="22"/>
          <w:szCs w:val="22"/>
        </w:rPr>
        <w:t>the Inland Revenue Department</w:t>
      </w:r>
    </w:p>
    <w:p w:rsidR="000D42F2" w:rsidRPr="00BE0129" w:rsidRDefault="009F2D15" w:rsidP="00DB7A1A">
      <w:pPr>
        <w:numPr>
          <w:ilvl w:val="0"/>
          <w:numId w:val="13"/>
        </w:numPr>
        <w:spacing w:before="120"/>
        <w:ind w:left="993" w:hanging="426"/>
        <w:rPr>
          <w:sz w:val="22"/>
          <w:szCs w:val="22"/>
        </w:rPr>
      </w:pPr>
      <w:r w:rsidRPr="00BE0129">
        <w:rPr>
          <w:sz w:val="22"/>
          <w:szCs w:val="22"/>
        </w:rPr>
        <w:t xml:space="preserve">the Ministry of </w:t>
      </w:r>
      <w:r w:rsidR="009E51C2">
        <w:rPr>
          <w:sz w:val="22"/>
          <w:szCs w:val="22"/>
        </w:rPr>
        <w:t>Business, Innovation and Employment</w:t>
      </w:r>
    </w:p>
    <w:p w:rsidR="009E51C2" w:rsidRDefault="009E51C2" w:rsidP="00DB7A1A">
      <w:pPr>
        <w:numPr>
          <w:ilvl w:val="0"/>
          <w:numId w:val="13"/>
        </w:numPr>
        <w:spacing w:before="120"/>
        <w:ind w:left="993" w:hanging="426"/>
        <w:rPr>
          <w:sz w:val="22"/>
          <w:szCs w:val="22"/>
        </w:rPr>
      </w:pPr>
      <w:r>
        <w:rPr>
          <w:sz w:val="22"/>
          <w:szCs w:val="22"/>
        </w:rPr>
        <w:t>the Ministry of Consumer Affairs</w:t>
      </w:r>
    </w:p>
    <w:p w:rsidR="009F2D15" w:rsidRPr="00BE0129" w:rsidRDefault="009F2D15" w:rsidP="00DB7A1A">
      <w:pPr>
        <w:numPr>
          <w:ilvl w:val="0"/>
          <w:numId w:val="13"/>
        </w:numPr>
        <w:spacing w:before="120"/>
        <w:ind w:left="993" w:hanging="426"/>
        <w:rPr>
          <w:sz w:val="22"/>
          <w:szCs w:val="22"/>
        </w:rPr>
      </w:pPr>
      <w:r w:rsidRPr="00BE0129">
        <w:rPr>
          <w:sz w:val="22"/>
          <w:szCs w:val="22"/>
        </w:rPr>
        <w:t>the Ministry of Education</w:t>
      </w:r>
    </w:p>
    <w:p w:rsidR="009F2D15" w:rsidRPr="00BE0129" w:rsidRDefault="009F2D15" w:rsidP="00DB7A1A">
      <w:pPr>
        <w:numPr>
          <w:ilvl w:val="0"/>
          <w:numId w:val="13"/>
        </w:numPr>
        <w:spacing w:before="120"/>
        <w:ind w:left="993" w:hanging="426"/>
        <w:rPr>
          <w:sz w:val="22"/>
          <w:szCs w:val="22"/>
        </w:rPr>
      </w:pPr>
      <w:r w:rsidRPr="00BE0129">
        <w:rPr>
          <w:sz w:val="22"/>
          <w:szCs w:val="22"/>
        </w:rPr>
        <w:t>the Ministry of Justice</w:t>
      </w:r>
    </w:p>
    <w:p w:rsidR="009F2D15" w:rsidRPr="00BE0129" w:rsidRDefault="009F2D15" w:rsidP="00DB7A1A">
      <w:pPr>
        <w:numPr>
          <w:ilvl w:val="0"/>
          <w:numId w:val="13"/>
        </w:numPr>
        <w:spacing w:before="120"/>
        <w:ind w:left="993" w:hanging="426"/>
        <w:rPr>
          <w:sz w:val="22"/>
          <w:szCs w:val="22"/>
        </w:rPr>
      </w:pPr>
      <w:r w:rsidRPr="00BE0129">
        <w:rPr>
          <w:sz w:val="22"/>
          <w:szCs w:val="22"/>
        </w:rPr>
        <w:t>the Ministry of Pacific Island Affairs</w:t>
      </w:r>
      <w:r w:rsidR="00CE36E3">
        <w:rPr>
          <w:sz w:val="22"/>
          <w:szCs w:val="22"/>
        </w:rPr>
        <w:t xml:space="preserve"> (now the Ministry for Pacific Peoples)</w:t>
      </w:r>
    </w:p>
    <w:p w:rsidR="009F2D15" w:rsidRPr="00BE0129" w:rsidRDefault="009F2D15" w:rsidP="00DB7A1A">
      <w:pPr>
        <w:numPr>
          <w:ilvl w:val="0"/>
          <w:numId w:val="13"/>
        </w:numPr>
        <w:spacing w:before="120"/>
        <w:ind w:left="993" w:hanging="426"/>
        <w:rPr>
          <w:sz w:val="22"/>
          <w:szCs w:val="22"/>
        </w:rPr>
      </w:pPr>
      <w:r w:rsidRPr="00BE0129">
        <w:rPr>
          <w:sz w:val="22"/>
          <w:szCs w:val="22"/>
        </w:rPr>
        <w:t>the Ministry of Social Development</w:t>
      </w:r>
    </w:p>
    <w:p w:rsidR="009F2D15" w:rsidRPr="00BE0129" w:rsidRDefault="009F2D15" w:rsidP="00DB7A1A">
      <w:pPr>
        <w:numPr>
          <w:ilvl w:val="0"/>
          <w:numId w:val="13"/>
        </w:numPr>
        <w:spacing w:before="120"/>
        <w:ind w:left="993" w:hanging="426"/>
        <w:rPr>
          <w:sz w:val="22"/>
          <w:szCs w:val="22"/>
        </w:rPr>
      </w:pPr>
      <w:r w:rsidRPr="00BE0129">
        <w:rPr>
          <w:sz w:val="22"/>
          <w:szCs w:val="22"/>
        </w:rPr>
        <w:t xml:space="preserve">the Ministry </w:t>
      </w:r>
      <w:r w:rsidR="009E51C2">
        <w:rPr>
          <w:sz w:val="22"/>
          <w:szCs w:val="22"/>
        </w:rPr>
        <w:t>for</w:t>
      </w:r>
      <w:r w:rsidRPr="00BE0129">
        <w:rPr>
          <w:sz w:val="22"/>
          <w:szCs w:val="22"/>
        </w:rPr>
        <w:t xml:space="preserve"> Women</w:t>
      </w:r>
    </w:p>
    <w:p w:rsidR="009F2D15" w:rsidRPr="00BE0129" w:rsidRDefault="009F2D15" w:rsidP="00DB7A1A">
      <w:pPr>
        <w:numPr>
          <w:ilvl w:val="0"/>
          <w:numId w:val="13"/>
        </w:numPr>
        <w:spacing w:before="120"/>
        <w:ind w:left="993" w:hanging="426"/>
        <w:rPr>
          <w:sz w:val="22"/>
          <w:szCs w:val="22"/>
        </w:rPr>
      </w:pPr>
      <w:r w:rsidRPr="00BE0129">
        <w:rPr>
          <w:sz w:val="22"/>
          <w:szCs w:val="22"/>
        </w:rPr>
        <w:t>the Ministry of Youth Development</w:t>
      </w:r>
    </w:p>
    <w:p w:rsidR="009F2D15" w:rsidRPr="00BE0129" w:rsidRDefault="009F2D15" w:rsidP="00DB7A1A">
      <w:pPr>
        <w:numPr>
          <w:ilvl w:val="0"/>
          <w:numId w:val="13"/>
        </w:numPr>
        <w:spacing w:before="120"/>
        <w:ind w:left="993" w:hanging="426"/>
        <w:rPr>
          <w:sz w:val="22"/>
          <w:szCs w:val="22"/>
        </w:rPr>
      </w:pPr>
      <w:r w:rsidRPr="00BE0129">
        <w:rPr>
          <w:sz w:val="22"/>
          <w:szCs w:val="22"/>
        </w:rPr>
        <w:t>the New Zealand Police</w:t>
      </w:r>
    </w:p>
    <w:p w:rsidR="009E51C2" w:rsidRPr="00BE0129" w:rsidRDefault="009E51C2" w:rsidP="009E51C2">
      <w:pPr>
        <w:numPr>
          <w:ilvl w:val="0"/>
          <w:numId w:val="13"/>
        </w:numPr>
        <w:spacing w:before="120"/>
        <w:ind w:left="993" w:hanging="426"/>
        <w:rPr>
          <w:sz w:val="22"/>
          <w:szCs w:val="22"/>
        </w:rPr>
      </w:pPr>
      <w:r w:rsidRPr="00BE0129">
        <w:rPr>
          <w:sz w:val="22"/>
          <w:szCs w:val="22"/>
        </w:rPr>
        <w:t xml:space="preserve">the Office </w:t>
      </w:r>
      <w:r w:rsidR="003E27E9">
        <w:rPr>
          <w:sz w:val="22"/>
          <w:szCs w:val="22"/>
        </w:rPr>
        <w:t>for</w:t>
      </w:r>
      <w:r w:rsidRPr="00BE0129">
        <w:rPr>
          <w:sz w:val="22"/>
          <w:szCs w:val="22"/>
        </w:rPr>
        <w:t xml:space="preserve"> Disability Issues </w:t>
      </w:r>
    </w:p>
    <w:p w:rsidR="009F2D15" w:rsidRDefault="009F2D15" w:rsidP="00DB7A1A">
      <w:pPr>
        <w:numPr>
          <w:ilvl w:val="0"/>
          <w:numId w:val="13"/>
        </w:numPr>
        <w:spacing w:before="120"/>
        <w:ind w:left="993" w:hanging="426"/>
        <w:rPr>
          <w:sz w:val="22"/>
          <w:szCs w:val="22"/>
        </w:rPr>
      </w:pPr>
      <w:r w:rsidRPr="00BE0129">
        <w:rPr>
          <w:sz w:val="22"/>
          <w:szCs w:val="22"/>
        </w:rPr>
        <w:t xml:space="preserve">the Office of Ethnic </w:t>
      </w:r>
      <w:r w:rsidR="009E51C2">
        <w:rPr>
          <w:sz w:val="22"/>
          <w:szCs w:val="22"/>
        </w:rPr>
        <w:t>Communities</w:t>
      </w:r>
    </w:p>
    <w:p w:rsidR="009E51C2" w:rsidRPr="00BE0129" w:rsidRDefault="009E51C2" w:rsidP="00DB7A1A">
      <w:pPr>
        <w:numPr>
          <w:ilvl w:val="0"/>
          <w:numId w:val="13"/>
        </w:numPr>
        <w:spacing w:before="120"/>
        <w:ind w:left="993" w:hanging="426"/>
        <w:rPr>
          <w:sz w:val="22"/>
          <w:szCs w:val="22"/>
        </w:rPr>
      </w:pPr>
      <w:r>
        <w:rPr>
          <w:sz w:val="22"/>
          <w:szCs w:val="22"/>
        </w:rPr>
        <w:t>the Office for Senior Citizens</w:t>
      </w:r>
      <w:r w:rsidR="00CE36E3">
        <w:rPr>
          <w:sz w:val="22"/>
          <w:szCs w:val="22"/>
        </w:rPr>
        <w:t xml:space="preserve"> (now the Office for Seniors)</w:t>
      </w:r>
    </w:p>
    <w:p w:rsidR="009E51C2" w:rsidRPr="00BE0129" w:rsidRDefault="009E51C2" w:rsidP="009E51C2">
      <w:pPr>
        <w:numPr>
          <w:ilvl w:val="0"/>
          <w:numId w:val="13"/>
        </w:numPr>
        <w:spacing w:before="120"/>
        <w:ind w:left="993" w:hanging="426"/>
        <w:rPr>
          <w:sz w:val="22"/>
          <w:szCs w:val="22"/>
        </w:rPr>
      </w:pPr>
      <w:r w:rsidRPr="00BE0129">
        <w:rPr>
          <w:sz w:val="22"/>
          <w:szCs w:val="22"/>
        </w:rPr>
        <w:t>Te Puni Kōkiri</w:t>
      </w:r>
    </w:p>
    <w:p w:rsidR="009E51C2" w:rsidRPr="009E51C2" w:rsidRDefault="009E51C2" w:rsidP="009E51C2">
      <w:pPr>
        <w:numPr>
          <w:ilvl w:val="0"/>
          <w:numId w:val="13"/>
        </w:numPr>
        <w:spacing w:before="120"/>
        <w:ind w:left="993" w:hanging="426"/>
        <w:rPr>
          <w:sz w:val="22"/>
          <w:szCs w:val="22"/>
        </w:rPr>
      </w:pPr>
      <w:r>
        <w:rPr>
          <w:sz w:val="22"/>
          <w:szCs w:val="22"/>
        </w:rPr>
        <w:t>t</w:t>
      </w:r>
      <w:r w:rsidRPr="009E51C2">
        <w:rPr>
          <w:sz w:val="22"/>
          <w:szCs w:val="22"/>
        </w:rPr>
        <w:t>he Treasury</w:t>
      </w:r>
    </w:p>
    <w:p w:rsidR="00BE0129" w:rsidRPr="00BE0129" w:rsidRDefault="00BE0129" w:rsidP="00DB7A1A">
      <w:pPr>
        <w:numPr>
          <w:ilvl w:val="0"/>
          <w:numId w:val="13"/>
        </w:numPr>
        <w:spacing w:before="120"/>
        <w:ind w:left="993" w:hanging="426"/>
        <w:rPr>
          <w:sz w:val="22"/>
          <w:szCs w:val="22"/>
        </w:rPr>
      </w:pPr>
      <w:r w:rsidRPr="00BE0129">
        <w:rPr>
          <w:sz w:val="22"/>
          <w:szCs w:val="22"/>
        </w:rPr>
        <w:t>Sport N</w:t>
      </w:r>
      <w:r w:rsidR="009E51C2">
        <w:rPr>
          <w:sz w:val="22"/>
          <w:szCs w:val="22"/>
        </w:rPr>
        <w:t xml:space="preserve">ew </w:t>
      </w:r>
      <w:r w:rsidRPr="00BE0129">
        <w:rPr>
          <w:sz w:val="22"/>
          <w:szCs w:val="22"/>
        </w:rPr>
        <w:t>Z</w:t>
      </w:r>
      <w:r w:rsidR="009E51C2">
        <w:rPr>
          <w:sz w:val="22"/>
          <w:szCs w:val="22"/>
        </w:rPr>
        <w:t>ealand.</w:t>
      </w:r>
    </w:p>
    <w:p w:rsidR="000C7147" w:rsidRPr="00BE0129" w:rsidRDefault="000C7147" w:rsidP="00C90210">
      <w:pPr>
        <w:rPr>
          <w:sz w:val="22"/>
          <w:szCs w:val="22"/>
        </w:rPr>
      </w:pPr>
    </w:p>
    <w:p w:rsidR="009F2D15" w:rsidRPr="00BE0129" w:rsidRDefault="009F2D15" w:rsidP="00C90210">
      <w:pPr>
        <w:numPr>
          <w:ilvl w:val="0"/>
          <w:numId w:val="41"/>
        </w:numPr>
        <w:ind w:left="567" w:hanging="567"/>
        <w:rPr>
          <w:sz w:val="22"/>
          <w:szCs w:val="22"/>
        </w:rPr>
      </w:pPr>
      <w:r w:rsidRPr="00BE0129">
        <w:rPr>
          <w:sz w:val="22"/>
          <w:szCs w:val="22"/>
          <w:lang w:eastAsia="en-US"/>
        </w:rPr>
        <w:t>The Department of the Prime Mi</w:t>
      </w:r>
      <w:r w:rsidR="00BE0129">
        <w:rPr>
          <w:sz w:val="22"/>
          <w:szCs w:val="22"/>
          <w:lang w:eastAsia="en-US"/>
        </w:rPr>
        <w:t>nister and Cabinet was informed</w:t>
      </w:r>
      <w:r w:rsidRPr="00BE0129">
        <w:rPr>
          <w:sz w:val="22"/>
          <w:szCs w:val="22"/>
          <w:lang w:eastAsia="en-US"/>
        </w:rPr>
        <w:t>.</w:t>
      </w:r>
    </w:p>
    <w:p w:rsidR="000C7147" w:rsidRPr="00BE0129" w:rsidRDefault="000C7147" w:rsidP="00C90210">
      <w:pPr>
        <w:rPr>
          <w:sz w:val="22"/>
          <w:szCs w:val="22"/>
          <w:lang w:eastAsia="en-US"/>
        </w:rPr>
      </w:pPr>
    </w:p>
    <w:p w:rsidR="00874298" w:rsidRDefault="00E26E78" w:rsidP="00C90210">
      <w:pPr>
        <w:numPr>
          <w:ilvl w:val="0"/>
          <w:numId w:val="41"/>
        </w:numPr>
        <w:ind w:left="567" w:hanging="567"/>
        <w:rPr>
          <w:sz w:val="22"/>
          <w:szCs w:val="22"/>
          <w:lang w:eastAsia="en-US"/>
        </w:rPr>
      </w:pPr>
      <w:r w:rsidRPr="00E26E78">
        <w:rPr>
          <w:sz w:val="22"/>
          <w:szCs w:val="22"/>
          <w:lang w:eastAsia="en-US"/>
        </w:rPr>
        <w:t xml:space="preserve">On </w:t>
      </w:r>
      <w:r w:rsidR="009E51C2">
        <w:rPr>
          <w:sz w:val="22"/>
          <w:szCs w:val="22"/>
          <w:lang w:eastAsia="en-US"/>
        </w:rPr>
        <w:t>31 July 2015</w:t>
      </w:r>
      <w:r w:rsidRPr="00E26E78">
        <w:rPr>
          <w:sz w:val="22"/>
          <w:szCs w:val="22"/>
          <w:lang w:eastAsia="en-US"/>
        </w:rPr>
        <w:t xml:space="preserve">, </w:t>
      </w:r>
      <w:r w:rsidR="00874298">
        <w:rPr>
          <w:sz w:val="22"/>
          <w:szCs w:val="22"/>
          <w:lang w:eastAsia="en-US"/>
        </w:rPr>
        <w:t xml:space="preserve">after receiving Cabinet approval, </w:t>
      </w:r>
      <w:r w:rsidRPr="00E26E78">
        <w:rPr>
          <w:sz w:val="22"/>
          <w:szCs w:val="22"/>
          <w:lang w:eastAsia="en-US"/>
        </w:rPr>
        <w:t xml:space="preserve">the Ministry released </w:t>
      </w:r>
      <w:r>
        <w:rPr>
          <w:sz w:val="22"/>
          <w:szCs w:val="22"/>
          <w:lang w:eastAsia="en-US"/>
        </w:rPr>
        <w:t>its</w:t>
      </w:r>
      <w:r w:rsidRPr="00E26E78">
        <w:rPr>
          <w:sz w:val="22"/>
          <w:szCs w:val="22"/>
          <w:lang w:eastAsia="en-US"/>
        </w:rPr>
        <w:t xml:space="preserve"> consultation document, </w:t>
      </w:r>
      <w:r w:rsidRPr="00E26E78">
        <w:rPr>
          <w:i/>
          <w:sz w:val="22"/>
          <w:szCs w:val="22"/>
          <w:lang w:eastAsia="en-US"/>
        </w:rPr>
        <w:t>Preventing and Minimising Gambling Harm</w:t>
      </w:r>
      <w:r w:rsidR="009E51C2">
        <w:rPr>
          <w:sz w:val="22"/>
          <w:szCs w:val="22"/>
          <w:lang w:eastAsia="en-US"/>
        </w:rPr>
        <w:t xml:space="preserve"> (Ministry of Health 2015a</w:t>
      </w:r>
      <w:r w:rsidR="00415C66">
        <w:rPr>
          <w:sz w:val="22"/>
          <w:szCs w:val="22"/>
          <w:lang w:eastAsia="en-US"/>
        </w:rPr>
        <w:t>)</w:t>
      </w:r>
      <w:r w:rsidRPr="00E26E78">
        <w:rPr>
          <w:sz w:val="22"/>
          <w:szCs w:val="22"/>
          <w:lang w:eastAsia="en-US"/>
        </w:rPr>
        <w:t xml:space="preserve">. </w:t>
      </w:r>
      <w:r w:rsidR="0038601E">
        <w:rPr>
          <w:sz w:val="22"/>
          <w:szCs w:val="22"/>
          <w:lang w:eastAsia="en-US"/>
        </w:rPr>
        <w:t xml:space="preserve"> </w:t>
      </w:r>
      <w:r w:rsidR="00F446CD">
        <w:rPr>
          <w:sz w:val="22"/>
          <w:szCs w:val="22"/>
          <w:lang w:eastAsia="en-US"/>
        </w:rPr>
        <w:t>As required by the Act, t</w:t>
      </w:r>
      <w:r w:rsidRPr="00E26E78">
        <w:rPr>
          <w:sz w:val="22"/>
          <w:szCs w:val="22"/>
          <w:lang w:eastAsia="en-US"/>
        </w:rPr>
        <w:t xml:space="preserve">he document included the Ministry’s </w:t>
      </w:r>
      <w:r w:rsidR="00D5540E">
        <w:rPr>
          <w:sz w:val="22"/>
          <w:szCs w:val="22"/>
          <w:lang w:eastAsia="en-US"/>
        </w:rPr>
        <w:t xml:space="preserve">draft </w:t>
      </w:r>
      <w:r w:rsidR="009E51C2">
        <w:rPr>
          <w:sz w:val="22"/>
          <w:szCs w:val="22"/>
          <w:lang w:eastAsia="en-US"/>
        </w:rPr>
        <w:t>Strategy</w:t>
      </w:r>
      <w:r w:rsidRPr="00E26E78">
        <w:rPr>
          <w:sz w:val="22"/>
          <w:szCs w:val="22"/>
          <w:lang w:eastAsia="en-US"/>
        </w:rPr>
        <w:t xml:space="preserve"> and </w:t>
      </w:r>
      <w:r w:rsidR="00D5540E">
        <w:rPr>
          <w:sz w:val="22"/>
          <w:szCs w:val="22"/>
          <w:lang w:eastAsia="en-US"/>
        </w:rPr>
        <w:t>estimated</w:t>
      </w:r>
      <w:r w:rsidRPr="00E26E78">
        <w:rPr>
          <w:sz w:val="22"/>
          <w:szCs w:val="22"/>
          <w:lang w:eastAsia="en-US"/>
        </w:rPr>
        <w:t xml:space="preserve"> problem</w:t>
      </w:r>
      <w:r w:rsidR="009E51C2">
        <w:rPr>
          <w:sz w:val="22"/>
          <w:szCs w:val="22"/>
          <w:lang w:eastAsia="en-US"/>
        </w:rPr>
        <w:t xml:space="preserve"> gambling levy rates for 2016/17 to 2018/19</w:t>
      </w:r>
      <w:r w:rsidRPr="00E26E78">
        <w:rPr>
          <w:sz w:val="22"/>
          <w:szCs w:val="22"/>
          <w:lang w:eastAsia="en-US"/>
        </w:rPr>
        <w:t>.</w:t>
      </w:r>
      <w:r w:rsidR="00D5540E">
        <w:rPr>
          <w:sz w:val="22"/>
          <w:szCs w:val="22"/>
          <w:lang w:eastAsia="en-US"/>
        </w:rPr>
        <w:t xml:space="preserve"> </w:t>
      </w:r>
      <w:r w:rsidRPr="00E26E78">
        <w:rPr>
          <w:sz w:val="22"/>
          <w:szCs w:val="22"/>
          <w:lang w:eastAsia="en-US"/>
        </w:rPr>
        <w:t xml:space="preserve"> </w:t>
      </w:r>
      <w:r>
        <w:rPr>
          <w:sz w:val="22"/>
          <w:szCs w:val="22"/>
          <w:lang w:eastAsia="en-US"/>
        </w:rPr>
        <w:t>It also included a needs assessment</w:t>
      </w:r>
      <w:r w:rsidR="00FE0BB2">
        <w:rPr>
          <w:sz w:val="22"/>
          <w:szCs w:val="22"/>
          <w:lang w:eastAsia="en-US"/>
        </w:rPr>
        <w:t>, as required by the Act</w:t>
      </w:r>
      <w:r>
        <w:rPr>
          <w:sz w:val="22"/>
          <w:szCs w:val="22"/>
          <w:lang w:eastAsia="en-US"/>
        </w:rPr>
        <w:t>.</w:t>
      </w:r>
      <w:r w:rsidR="00F45475">
        <w:rPr>
          <w:sz w:val="22"/>
          <w:szCs w:val="22"/>
          <w:lang w:eastAsia="en-US"/>
        </w:rPr>
        <w:t xml:space="preserve"> </w:t>
      </w:r>
    </w:p>
    <w:p w:rsidR="00874298" w:rsidRDefault="00874298" w:rsidP="00C90210">
      <w:pPr>
        <w:rPr>
          <w:sz w:val="22"/>
          <w:szCs w:val="22"/>
          <w:lang w:eastAsia="en-US"/>
        </w:rPr>
      </w:pPr>
    </w:p>
    <w:p w:rsidR="00E26E78" w:rsidRDefault="00F45475" w:rsidP="00C90210">
      <w:pPr>
        <w:numPr>
          <w:ilvl w:val="0"/>
          <w:numId w:val="41"/>
        </w:numPr>
        <w:ind w:left="567" w:hanging="567"/>
        <w:rPr>
          <w:sz w:val="22"/>
          <w:szCs w:val="22"/>
          <w:lang w:eastAsia="en-US"/>
        </w:rPr>
      </w:pPr>
      <w:r>
        <w:rPr>
          <w:sz w:val="22"/>
          <w:szCs w:val="22"/>
          <w:lang w:eastAsia="en-US"/>
        </w:rPr>
        <w:lastRenderedPageBreak/>
        <w:t xml:space="preserve">A wide range of gambling operators and other gambling industry groups, problem gambling service providers, health sector groups, researchers, and local government representatives were informed about the proposals. </w:t>
      </w:r>
    </w:p>
    <w:p w:rsidR="00E26E78" w:rsidRPr="00E26E78" w:rsidRDefault="00E26E78" w:rsidP="00C90210">
      <w:pPr>
        <w:rPr>
          <w:sz w:val="22"/>
          <w:szCs w:val="22"/>
          <w:lang w:eastAsia="en-US"/>
        </w:rPr>
      </w:pPr>
    </w:p>
    <w:p w:rsidR="00E26E78" w:rsidRDefault="0038601E" w:rsidP="00C90210">
      <w:pPr>
        <w:numPr>
          <w:ilvl w:val="0"/>
          <w:numId w:val="41"/>
        </w:numPr>
        <w:ind w:left="567" w:hanging="567"/>
        <w:rPr>
          <w:sz w:val="22"/>
          <w:szCs w:val="22"/>
          <w:lang w:eastAsia="en-US"/>
        </w:rPr>
      </w:pPr>
      <w:r>
        <w:rPr>
          <w:sz w:val="22"/>
          <w:szCs w:val="22"/>
          <w:lang w:eastAsia="en-US"/>
        </w:rPr>
        <w:t>Six</w:t>
      </w:r>
      <w:r w:rsidR="00E26E78" w:rsidRPr="00E26E78">
        <w:rPr>
          <w:sz w:val="22"/>
          <w:szCs w:val="22"/>
          <w:lang w:eastAsia="en-US"/>
        </w:rPr>
        <w:t xml:space="preserve"> weeks were allowed for written submissions. </w:t>
      </w:r>
      <w:r>
        <w:rPr>
          <w:sz w:val="22"/>
          <w:szCs w:val="22"/>
          <w:lang w:eastAsia="en-US"/>
        </w:rPr>
        <w:t xml:space="preserve"> </w:t>
      </w:r>
      <w:r w:rsidR="00E26E78" w:rsidRPr="00E26E78">
        <w:rPr>
          <w:sz w:val="22"/>
          <w:szCs w:val="22"/>
          <w:lang w:eastAsia="en-US"/>
        </w:rPr>
        <w:t>The Ministry also held ten consultation meetings in the five main centres</w:t>
      </w:r>
      <w:r w:rsidR="00F45475">
        <w:rPr>
          <w:sz w:val="22"/>
          <w:szCs w:val="22"/>
          <w:lang w:eastAsia="en-US"/>
        </w:rPr>
        <w:t>, comprising five general meetings, three designed to obtain Māori, Pacific and Asian viewpoints, and two meetings with the gambling industry</w:t>
      </w:r>
      <w:r w:rsidR="00E26E78" w:rsidRPr="00E26E78">
        <w:rPr>
          <w:sz w:val="22"/>
          <w:szCs w:val="22"/>
          <w:lang w:eastAsia="en-US"/>
        </w:rPr>
        <w:t xml:space="preserve">. </w:t>
      </w:r>
      <w:r>
        <w:rPr>
          <w:sz w:val="22"/>
          <w:szCs w:val="22"/>
          <w:lang w:eastAsia="en-US"/>
        </w:rPr>
        <w:t xml:space="preserve"> Forty</w:t>
      </w:r>
      <w:r w:rsidR="00E26E78" w:rsidRPr="00E26E78">
        <w:rPr>
          <w:sz w:val="22"/>
          <w:szCs w:val="22"/>
          <w:lang w:eastAsia="en-US"/>
        </w:rPr>
        <w:t xml:space="preserve">-seven written submissions were received, from representatives of a wide cross-section of stakeholders and from two individuals. </w:t>
      </w:r>
      <w:r>
        <w:rPr>
          <w:sz w:val="22"/>
          <w:szCs w:val="22"/>
          <w:lang w:eastAsia="en-US"/>
        </w:rPr>
        <w:t xml:space="preserve"> </w:t>
      </w:r>
      <w:r w:rsidR="00E26E78" w:rsidRPr="00E26E78">
        <w:rPr>
          <w:sz w:val="22"/>
          <w:szCs w:val="22"/>
          <w:lang w:eastAsia="en-US"/>
        </w:rPr>
        <w:t>(</w:t>
      </w:r>
      <w:r>
        <w:rPr>
          <w:sz w:val="22"/>
          <w:szCs w:val="22"/>
          <w:lang w:eastAsia="en-US"/>
        </w:rPr>
        <w:t xml:space="preserve">Thirty-seven </w:t>
      </w:r>
      <w:r w:rsidR="007F378A" w:rsidRPr="00E26E78">
        <w:rPr>
          <w:sz w:val="22"/>
          <w:szCs w:val="22"/>
          <w:lang w:eastAsia="en-US"/>
        </w:rPr>
        <w:t xml:space="preserve">submissions were received during the </w:t>
      </w:r>
      <w:r w:rsidR="007F378A">
        <w:rPr>
          <w:sz w:val="22"/>
          <w:szCs w:val="22"/>
          <w:lang w:eastAsia="en-US"/>
        </w:rPr>
        <w:t xml:space="preserve">previous </w:t>
      </w:r>
      <w:r w:rsidR="007F378A" w:rsidRPr="00E26E78">
        <w:rPr>
          <w:sz w:val="22"/>
          <w:szCs w:val="22"/>
          <w:lang w:eastAsia="en-US"/>
        </w:rPr>
        <w:t xml:space="preserve">consultation period in </w:t>
      </w:r>
      <w:r w:rsidR="007F378A">
        <w:rPr>
          <w:sz w:val="22"/>
          <w:szCs w:val="22"/>
          <w:lang w:eastAsia="en-US"/>
        </w:rPr>
        <w:t>2012, s</w:t>
      </w:r>
      <w:r w:rsidR="00E26E78" w:rsidRPr="00E26E78">
        <w:rPr>
          <w:sz w:val="22"/>
          <w:szCs w:val="22"/>
          <w:lang w:eastAsia="en-US"/>
        </w:rPr>
        <w:t>ixty-five in 2009, and fifty-six in 2006.)</w:t>
      </w:r>
    </w:p>
    <w:p w:rsidR="00E26E78" w:rsidRPr="00E26E78" w:rsidRDefault="00E26E78" w:rsidP="00C90210">
      <w:pPr>
        <w:rPr>
          <w:sz w:val="22"/>
          <w:szCs w:val="22"/>
          <w:lang w:eastAsia="en-US"/>
        </w:rPr>
      </w:pPr>
    </w:p>
    <w:p w:rsidR="00AB0FBF" w:rsidRDefault="00E26E78" w:rsidP="00C90210">
      <w:pPr>
        <w:numPr>
          <w:ilvl w:val="0"/>
          <w:numId w:val="41"/>
        </w:numPr>
        <w:ind w:left="567" w:hanging="567"/>
        <w:rPr>
          <w:sz w:val="22"/>
          <w:szCs w:val="22"/>
          <w:lang w:eastAsia="en-US"/>
        </w:rPr>
      </w:pPr>
      <w:r w:rsidRPr="00E26E78">
        <w:rPr>
          <w:sz w:val="22"/>
          <w:szCs w:val="22"/>
          <w:lang w:eastAsia="en-US"/>
        </w:rPr>
        <w:t>An independent contractor examined the submissions and produced an analysis</w:t>
      </w:r>
      <w:r w:rsidR="00F45475">
        <w:rPr>
          <w:sz w:val="22"/>
          <w:szCs w:val="22"/>
          <w:lang w:eastAsia="en-US"/>
        </w:rPr>
        <w:t xml:space="preserve"> (</w:t>
      </w:r>
      <w:r w:rsidR="00EA6281">
        <w:rPr>
          <w:sz w:val="22"/>
          <w:szCs w:val="22"/>
          <w:lang w:eastAsia="en-US"/>
        </w:rPr>
        <w:t>Allen and Clarke 2015</w:t>
      </w:r>
      <w:r w:rsidR="00121B48">
        <w:rPr>
          <w:sz w:val="22"/>
          <w:szCs w:val="22"/>
          <w:lang w:eastAsia="en-US"/>
        </w:rPr>
        <w:t>b</w:t>
      </w:r>
      <w:r w:rsidR="00F45475">
        <w:rPr>
          <w:sz w:val="22"/>
          <w:szCs w:val="22"/>
          <w:lang w:eastAsia="en-US"/>
        </w:rPr>
        <w:t>)</w:t>
      </w:r>
      <w:r w:rsidRPr="00E26E78">
        <w:rPr>
          <w:sz w:val="22"/>
          <w:szCs w:val="22"/>
          <w:lang w:eastAsia="en-US"/>
        </w:rPr>
        <w:t>. The Ministry considered the submissions</w:t>
      </w:r>
      <w:r w:rsidR="008D2709">
        <w:rPr>
          <w:sz w:val="22"/>
          <w:szCs w:val="22"/>
          <w:lang w:eastAsia="en-US"/>
        </w:rPr>
        <w:t xml:space="preserve"> and the analysis</w:t>
      </w:r>
      <w:r w:rsidRPr="00E26E78">
        <w:rPr>
          <w:sz w:val="22"/>
          <w:szCs w:val="22"/>
          <w:lang w:eastAsia="en-US"/>
        </w:rPr>
        <w:t xml:space="preserve">, and prepared </w:t>
      </w:r>
      <w:r w:rsidR="00A675DC" w:rsidRPr="00E26E78">
        <w:rPr>
          <w:sz w:val="22"/>
          <w:szCs w:val="22"/>
          <w:lang w:eastAsia="en-US"/>
        </w:rPr>
        <w:t xml:space="preserve">a table of responses to key </w:t>
      </w:r>
      <w:r w:rsidR="00A675DC">
        <w:rPr>
          <w:sz w:val="22"/>
          <w:szCs w:val="22"/>
          <w:lang w:eastAsia="en-US"/>
        </w:rPr>
        <w:t>issues raised</w:t>
      </w:r>
      <w:r w:rsidR="00A675DC" w:rsidRPr="00E26E78">
        <w:rPr>
          <w:sz w:val="22"/>
          <w:szCs w:val="22"/>
          <w:lang w:eastAsia="en-US"/>
        </w:rPr>
        <w:t xml:space="preserve"> and </w:t>
      </w:r>
      <w:r w:rsidRPr="00E26E78">
        <w:rPr>
          <w:sz w:val="22"/>
          <w:szCs w:val="22"/>
          <w:lang w:eastAsia="en-US"/>
        </w:rPr>
        <w:t xml:space="preserve">a final proposals document </w:t>
      </w:r>
      <w:r w:rsidR="00121B48">
        <w:rPr>
          <w:sz w:val="22"/>
          <w:szCs w:val="22"/>
          <w:lang w:eastAsia="en-US"/>
        </w:rPr>
        <w:t>(Ministry of Health 201</w:t>
      </w:r>
      <w:r w:rsidR="00EA6281">
        <w:rPr>
          <w:sz w:val="22"/>
          <w:szCs w:val="22"/>
          <w:lang w:eastAsia="en-US"/>
        </w:rPr>
        <w:t>5b</w:t>
      </w:r>
      <w:r w:rsidR="00121B48">
        <w:rPr>
          <w:sz w:val="22"/>
          <w:szCs w:val="22"/>
          <w:lang w:eastAsia="en-US"/>
        </w:rPr>
        <w:t xml:space="preserve"> and 201</w:t>
      </w:r>
      <w:r w:rsidR="00EA6281">
        <w:rPr>
          <w:sz w:val="22"/>
          <w:szCs w:val="22"/>
          <w:lang w:eastAsia="en-US"/>
        </w:rPr>
        <w:t>5c</w:t>
      </w:r>
      <w:r w:rsidR="00F45475">
        <w:rPr>
          <w:sz w:val="22"/>
          <w:szCs w:val="22"/>
          <w:lang w:eastAsia="en-US"/>
        </w:rPr>
        <w:t>)</w:t>
      </w:r>
      <w:r w:rsidRPr="00E26E78">
        <w:rPr>
          <w:sz w:val="22"/>
          <w:szCs w:val="22"/>
          <w:lang w:eastAsia="en-US"/>
        </w:rPr>
        <w:t xml:space="preserve">. </w:t>
      </w:r>
      <w:r w:rsidR="00F23CC9">
        <w:rPr>
          <w:sz w:val="22"/>
          <w:szCs w:val="22"/>
          <w:lang w:eastAsia="en-US"/>
        </w:rPr>
        <w:t xml:space="preserve">These documents were </w:t>
      </w:r>
      <w:r w:rsidR="00465EAF">
        <w:rPr>
          <w:sz w:val="22"/>
          <w:szCs w:val="22"/>
          <w:lang w:eastAsia="en-US"/>
        </w:rPr>
        <w:t xml:space="preserve">all </w:t>
      </w:r>
      <w:r w:rsidR="00F23CC9">
        <w:rPr>
          <w:sz w:val="22"/>
          <w:szCs w:val="22"/>
          <w:lang w:eastAsia="en-US"/>
        </w:rPr>
        <w:t>made publicly available on the Ministry’s website</w:t>
      </w:r>
      <w:r w:rsidR="00AB0FBF">
        <w:rPr>
          <w:sz w:val="22"/>
          <w:szCs w:val="22"/>
          <w:lang w:eastAsia="en-US"/>
        </w:rPr>
        <w:t xml:space="preserve">. </w:t>
      </w:r>
    </w:p>
    <w:p w:rsidR="00AB0FBF" w:rsidRDefault="00AB0FBF" w:rsidP="00C90210">
      <w:pPr>
        <w:rPr>
          <w:sz w:val="22"/>
          <w:szCs w:val="22"/>
          <w:lang w:eastAsia="en-US"/>
        </w:rPr>
      </w:pPr>
    </w:p>
    <w:p w:rsidR="00E26E78" w:rsidRDefault="00AB0FBF" w:rsidP="00C90210">
      <w:pPr>
        <w:numPr>
          <w:ilvl w:val="0"/>
          <w:numId w:val="41"/>
        </w:numPr>
        <w:ind w:left="567" w:hanging="567"/>
        <w:rPr>
          <w:sz w:val="22"/>
          <w:szCs w:val="22"/>
          <w:lang w:eastAsia="en-US"/>
        </w:rPr>
      </w:pPr>
      <w:r>
        <w:rPr>
          <w:sz w:val="22"/>
          <w:szCs w:val="22"/>
          <w:lang w:eastAsia="en-US"/>
        </w:rPr>
        <w:t xml:space="preserve">The Gambling Commission also provided </w:t>
      </w:r>
      <w:r w:rsidR="00AF50E5">
        <w:rPr>
          <w:sz w:val="22"/>
          <w:szCs w:val="22"/>
          <w:lang w:eastAsia="en-US"/>
        </w:rPr>
        <w:t>these</w:t>
      </w:r>
      <w:r>
        <w:rPr>
          <w:sz w:val="22"/>
          <w:szCs w:val="22"/>
          <w:lang w:eastAsia="en-US"/>
        </w:rPr>
        <w:t xml:space="preserve"> documents to invitees to its consultation meeting, which was held on </w:t>
      </w:r>
      <w:r w:rsidR="004C2E19">
        <w:rPr>
          <w:sz w:val="22"/>
          <w:szCs w:val="22"/>
          <w:lang w:eastAsia="en-US"/>
        </w:rPr>
        <w:t>27 November 2015</w:t>
      </w:r>
      <w:r>
        <w:rPr>
          <w:sz w:val="22"/>
          <w:szCs w:val="22"/>
          <w:lang w:eastAsia="en-US"/>
        </w:rPr>
        <w:t xml:space="preserve">. As required by the Act, </w:t>
      </w:r>
      <w:r w:rsidR="006D5BBA">
        <w:rPr>
          <w:sz w:val="22"/>
          <w:szCs w:val="22"/>
          <w:lang w:eastAsia="en-US"/>
        </w:rPr>
        <w:t>it</w:t>
      </w:r>
      <w:r>
        <w:rPr>
          <w:sz w:val="22"/>
          <w:szCs w:val="22"/>
          <w:lang w:eastAsia="en-US"/>
        </w:rPr>
        <w:t xml:space="preserve"> requested the attendance at that meeting of the Ministry, the Department of Internal Affairs, representatives of gambling operators subject to the levy, representatives of providers of problem gambling services, and representatives of other groups that the Commission believed were likely to be significantly affected by the levy.</w:t>
      </w:r>
      <w:r w:rsidR="00A07B1F">
        <w:rPr>
          <w:sz w:val="22"/>
          <w:szCs w:val="22"/>
          <w:lang w:eastAsia="en-US"/>
        </w:rPr>
        <w:t xml:space="preserve"> All invitees had an opportu</w:t>
      </w:r>
      <w:r w:rsidR="00FE0BB2">
        <w:rPr>
          <w:sz w:val="22"/>
          <w:szCs w:val="22"/>
          <w:lang w:eastAsia="en-US"/>
        </w:rPr>
        <w:t>nity to make submissions at the</w:t>
      </w:r>
      <w:r w:rsidR="00A07B1F">
        <w:rPr>
          <w:sz w:val="22"/>
          <w:szCs w:val="22"/>
          <w:lang w:eastAsia="en-US"/>
        </w:rPr>
        <w:t xml:space="preserve"> meeting. The Commission also engaged an expert, Synergia Limited, to advise it on the Ministry’s proposed service plan and levy calculations.</w:t>
      </w:r>
    </w:p>
    <w:p w:rsidR="00A07B1F" w:rsidRDefault="00A07B1F" w:rsidP="00C90210">
      <w:pPr>
        <w:rPr>
          <w:sz w:val="22"/>
          <w:szCs w:val="22"/>
          <w:lang w:eastAsia="en-US"/>
        </w:rPr>
      </w:pPr>
    </w:p>
    <w:p w:rsidR="00A07B1F" w:rsidRPr="00E26E78" w:rsidRDefault="00A07B1F" w:rsidP="00C90210">
      <w:pPr>
        <w:numPr>
          <w:ilvl w:val="0"/>
          <w:numId w:val="41"/>
        </w:numPr>
        <w:ind w:left="567" w:hanging="567"/>
        <w:rPr>
          <w:sz w:val="22"/>
          <w:szCs w:val="22"/>
          <w:lang w:eastAsia="en-US"/>
        </w:rPr>
      </w:pPr>
      <w:r>
        <w:rPr>
          <w:sz w:val="22"/>
          <w:szCs w:val="22"/>
          <w:lang w:eastAsia="en-US"/>
        </w:rPr>
        <w:t xml:space="preserve">On </w:t>
      </w:r>
      <w:r w:rsidR="00895349">
        <w:rPr>
          <w:sz w:val="22"/>
          <w:szCs w:val="22"/>
          <w:lang w:eastAsia="en-US"/>
        </w:rPr>
        <w:t>9 December 2015</w:t>
      </w:r>
      <w:r w:rsidR="00674C1C">
        <w:rPr>
          <w:sz w:val="22"/>
          <w:szCs w:val="22"/>
          <w:lang w:eastAsia="en-US"/>
        </w:rPr>
        <w:t>,</w:t>
      </w:r>
      <w:r w:rsidR="00FE0BB2">
        <w:rPr>
          <w:sz w:val="22"/>
          <w:szCs w:val="22"/>
          <w:lang w:eastAsia="en-US"/>
        </w:rPr>
        <w:t xml:space="preserve"> </w:t>
      </w:r>
      <w:r>
        <w:rPr>
          <w:sz w:val="22"/>
          <w:szCs w:val="22"/>
          <w:lang w:eastAsia="en-US"/>
        </w:rPr>
        <w:t xml:space="preserve">the Commission submitted its independent report </w:t>
      </w:r>
      <w:r w:rsidR="00874298">
        <w:rPr>
          <w:sz w:val="22"/>
          <w:szCs w:val="22"/>
          <w:lang w:eastAsia="en-US"/>
        </w:rPr>
        <w:t>(Gambling Commis</w:t>
      </w:r>
      <w:r w:rsidR="00895349">
        <w:rPr>
          <w:sz w:val="22"/>
          <w:szCs w:val="22"/>
          <w:lang w:eastAsia="en-US"/>
        </w:rPr>
        <w:t>sion 2015</w:t>
      </w:r>
      <w:r w:rsidR="00874298">
        <w:rPr>
          <w:sz w:val="22"/>
          <w:szCs w:val="22"/>
          <w:lang w:eastAsia="en-US"/>
        </w:rPr>
        <w:t xml:space="preserve">) </w:t>
      </w:r>
      <w:r>
        <w:rPr>
          <w:sz w:val="22"/>
          <w:szCs w:val="22"/>
          <w:lang w:eastAsia="en-US"/>
        </w:rPr>
        <w:t xml:space="preserve">to </w:t>
      </w:r>
      <w:r w:rsidR="00895349">
        <w:rPr>
          <w:sz w:val="22"/>
          <w:szCs w:val="22"/>
          <w:lang w:eastAsia="en-US"/>
        </w:rPr>
        <w:t xml:space="preserve">Hon Peter Dunne, as </w:t>
      </w:r>
      <w:r>
        <w:rPr>
          <w:sz w:val="22"/>
          <w:szCs w:val="22"/>
          <w:lang w:eastAsia="en-US"/>
        </w:rPr>
        <w:t xml:space="preserve">Minister of Internal Affairs and the </w:t>
      </w:r>
      <w:r w:rsidR="00895349">
        <w:rPr>
          <w:sz w:val="22"/>
          <w:szCs w:val="22"/>
          <w:lang w:eastAsia="en-US"/>
        </w:rPr>
        <w:t xml:space="preserve">relevant </w:t>
      </w:r>
      <w:r>
        <w:rPr>
          <w:sz w:val="22"/>
          <w:szCs w:val="22"/>
          <w:lang w:eastAsia="en-US"/>
        </w:rPr>
        <w:t xml:space="preserve">Associate Minister of Health. That report </w:t>
      </w:r>
      <w:r w:rsidR="004C2E19">
        <w:rPr>
          <w:sz w:val="22"/>
          <w:szCs w:val="22"/>
          <w:lang w:eastAsia="en-US"/>
        </w:rPr>
        <w:t xml:space="preserve">essentially </w:t>
      </w:r>
      <w:r>
        <w:rPr>
          <w:sz w:val="22"/>
          <w:szCs w:val="22"/>
          <w:lang w:eastAsia="en-US"/>
        </w:rPr>
        <w:t>support</w:t>
      </w:r>
      <w:r w:rsidR="00EA6281">
        <w:rPr>
          <w:sz w:val="22"/>
          <w:szCs w:val="22"/>
          <w:lang w:eastAsia="en-US"/>
        </w:rPr>
        <w:t>ed</w:t>
      </w:r>
      <w:r>
        <w:rPr>
          <w:sz w:val="22"/>
          <w:szCs w:val="22"/>
          <w:lang w:eastAsia="en-US"/>
        </w:rPr>
        <w:t xml:space="preserve"> the Ministry’s proposed </w:t>
      </w:r>
      <w:r w:rsidR="00EA6281">
        <w:rPr>
          <w:sz w:val="22"/>
          <w:szCs w:val="22"/>
          <w:lang w:eastAsia="en-US"/>
        </w:rPr>
        <w:t>Strategy</w:t>
      </w:r>
      <w:r>
        <w:rPr>
          <w:sz w:val="22"/>
          <w:szCs w:val="22"/>
          <w:lang w:eastAsia="en-US"/>
        </w:rPr>
        <w:t xml:space="preserve"> and levy rates.</w:t>
      </w:r>
    </w:p>
    <w:p w:rsidR="000C7147" w:rsidRPr="00B77D78" w:rsidRDefault="000C7147" w:rsidP="00C90210"/>
    <w:p w:rsidR="000D42F2" w:rsidRDefault="009F2D15" w:rsidP="000C7147">
      <w:pPr>
        <w:pStyle w:val="Heading2"/>
      </w:pPr>
      <w:bookmarkStart w:id="50" w:name="_Toc259613874"/>
      <w:bookmarkStart w:id="51" w:name="_Toc440029227"/>
      <w:r w:rsidRPr="00B77D78">
        <w:t xml:space="preserve">Significant issues raised </w:t>
      </w:r>
      <w:bookmarkEnd w:id="50"/>
      <w:r w:rsidR="00D26ACB">
        <w:t>and changes as a result</w:t>
      </w:r>
      <w:bookmarkEnd w:id="51"/>
    </w:p>
    <w:p w:rsidR="000D42F2" w:rsidRDefault="008A0DA7" w:rsidP="00C90210">
      <w:pPr>
        <w:numPr>
          <w:ilvl w:val="0"/>
          <w:numId w:val="41"/>
        </w:numPr>
        <w:ind w:left="567" w:hanging="567"/>
        <w:rPr>
          <w:sz w:val="22"/>
          <w:szCs w:val="22"/>
        </w:rPr>
      </w:pPr>
      <w:r>
        <w:rPr>
          <w:sz w:val="22"/>
          <w:szCs w:val="22"/>
        </w:rPr>
        <w:t>Significant comments made</w:t>
      </w:r>
      <w:r w:rsidR="009F2D15" w:rsidRPr="00D26ACB">
        <w:rPr>
          <w:sz w:val="22"/>
          <w:szCs w:val="22"/>
        </w:rPr>
        <w:t xml:space="preserve"> during consultation </w:t>
      </w:r>
      <w:r w:rsidR="006D4854">
        <w:rPr>
          <w:sz w:val="22"/>
          <w:szCs w:val="22"/>
        </w:rPr>
        <w:t xml:space="preserve">on the </w:t>
      </w:r>
      <w:r w:rsidR="00F07C0B">
        <w:rPr>
          <w:sz w:val="22"/>
          <w:szCs w:val="22"/>
        </w:rPr>
        <w:t>Strategy and levy rates</w:t>
      </w:r>
      <w:r>
        <w:rPr>
          <w:sz w:val="22"/>
          <w:szCs w:val="22"/>
        </w:rPr>
        <w:t xml:space="preserve"> </w:t>
      </w:r>
      <w:r w:rsidR="009F2D15" w:rsidRPr="00D26ACB">
        <w:rPr>
          <w:sz w:val="22"/>
          <w:szCs w:val="22"/>
        </w:rPr>
        <w:t>are summarised below</w:t>
      </w:r>
      <w:r w:rsidR="000D42F2" w:rsidRPr="00D26ACB">
        <w:rPr>
          <w:sz w:val="22"/>
          <w:szCs w:val="22"/>
        </w:rPr>
        <w:t>.</w:t>
      </w:r>
    </w:p>
    <w:p w:rsidR="00915E93" w:rsidRPr="00D26ACB" w:rsidRDefault="00915E93" w:rsidP="00C90210">
      <w:pPr>
        <w:rPr>
          <w:sz w:val="22"/>
          <w:szCs w:val="22"/>
        </w:rPr>
      </w:pPr>
    </w:p>
    <w:p w:rsidR="009F2D15" w:rsidRPr="00D26ACB" w:rsidRDefault="001C1E80" w:rsidP="00D26ACB">
      <w:pPr>
        <w:pStyle w:val="Heading3"/>
        <w:rPr>
          <w:szCs w:val="24"/>
        </w:rPr>
      </w:pPr>
      <w:r>
        <w:rPr>
          <w:szCs w:val="24"/>
        </w:rPr>
        <w:t>Comments on</w:t>
      </w:r>
      <w:r w:rsidR="009F2D15" w:rsidRPr="00D26ACB">
        <w:rPr>
          <w:szCs w:val="24"/>
        </w:rPr>
        <w:t xml:space="preserve"> the </w:t>
      </w:r>
      <w:r w:rsidR="00C90210">
        <w:rPr>
          <w:szCs w:val="24"/>
        </w:rPr>
        <w:t>Strategy</w:t>
      </w:r>
    </w:p>
    <w:p w:rsidR="009F2D15" w:rsidRPr="00D26ACB" w:rsidRDefault="00D26ACB" w:rsidP="00C90210">
      <w:pPr>
        <w:numPr>
          <w:ilvl w:val="0"/>
          <w:numId w:val="41"/>
        </w:numPr>
        <w:ind w:left="567" w:hanging="567"/>
        <w:rPr>
          <w:sz w:val="22"/>
          <w:szCs w:val="22"/>
        </w:rPr>
      </w:pPr>
      <w:r w:rsidRPr="00D26ACB">
        <w:rPr>
          <w:sz w:val="22"/>
          <w:szCs w:val="22"/>
        </w:rPr>
        <w:t xml:space="preserve">Most submitters who commented on the </w:t>
      </w:r>
      <w:r w:rsidR="00C90210">
        <w:rPr>
          <w:sz w:val="22"/>
          <w:szCs w:val="22"/>
        </w:rPr>
        <w:t>Strategy</w:t>
      </w:r>
      <w:r w:rsidRPr="00D26ACB">
        <w:rPr>
          <w:sz w:val="22"/>
          <w:szCs w:val="22"/>
        </w:rPr>
        <w:t xml:space="preserve"> were supportive</w:t>
      </w:r>
      <w:r w:rsidR="006D4854">
        <w:rPr>
          <w:sz w:val="22"/>
          <w:szCs w:val="22"/>
        </w:rPr>
        <w:t>, albeit that t</w:t>
      </w:r>
      <w:r w:rsidRPr="00D26ACB">
        <w:rPr>
          <w:sz w:val="22"/>
          <w:szCs w:val="22"/>
        </w:rPr>
        <w:t xml:space="preserve">his support was </w:t>
      </w:r>
      <w:r w:rsidR="006D4854">
        <w:rPr>
          <w:sz w:val="22"/>
          <w:szCs w:val="22"/>
        </w:rPr>
        <w:t xml:space="preserve">often </w:t>
      </w:r>
      <w:r w:rsidRPr="00D26ACB">
        <w:rPr>
          <w:sz w:val="22"/>
          <w:szCs w:val="22"/>
        </w:rPr>
        <w:t xml:space="preserve">qualified by comments on specific </w:t>
      </w:r>
      <w:r w:rsidR="006D4854">
        <w:rPr>
          <w:sz w:val="22"/>
          <w:szCs w:val="22"/>
        </w:rPr>
        <w:t>aspects</w:t>
      </w:r>
      <w:r w:rsidR="00DD54FB">
        <w:rPr>
          <w:sz w:val="22"/>
          <w:szCs w:val="22"/>
        </w:rPr>
        <w:t xml:space="preserve"> and suggestions for enhancements</w:t>
      </w:r>
      <w:r w:rsidRPr="00D26ACB">
        <w:rPr>
          <w:sz w:val="22"/>
          <w:szCs w:val="22"/>
        </w:rPr>
        <w:t xml:space="preserve">. </w:t>
      </w:r>
    </w:p>
    <w:p w:rsidR="00915E93" w:rsidRPr="00D26ACB" w:rsidRDefault="00915E93" w:rsidP="00915E93">
      <w:pPr>
        <w:rPr>
          <w:sz w:val="22"/>
          <w:szCs w:val="22"/>
        </w:rPr>
      </w:pPr>
    </w:p>
    <w:p w:rsidR="00B90250" w:rsidRDefault="00B90250" w:rsidP="00B90250">
      <w:pPr>
        <w:pStyle w:val="Heading3"/>
      </w:pPr>
      <w:r>
        <w:t>C</w:t>
      </w:r>
      <w:r w:rsidRPr="00B77D78">
        <w:t xml:space="preserve">hanges to the </w:t>
      </w:r>
      <w:r w:rsidR="00C90210">
        <w:t>Strategy</w:t>
      </w:r>
    </w:p>
    <w:p w:rsidR="00C90210" w:rsidRDefault="006D5BBA" w:rsidP="00C90210">
      <w:pPr>
        <w:numPr>
          <w:ilvl w:val="0"/>
          <w:numId w:val="41"/>
        </w:numPr>
        <w:ind w:left="567" w:hanging="567"/>
        <w:rPr>
          <w:sz w:val="22"/>
          <w:szCs w:val="22"/>
        </w:rPr>
      </w:pPr>
      <w:r>
        <w:rPr>
          <w:sz w:val="22"/>
          <w:szCs w:val="22"/>
        </w:rPr>
        <w:t>T</w:t>
      </w:r>
      <w:r w:rsidR="00DA3493">
        <w:rPr>
          <w:sz w:val="22"/>
          <w:szCs w:val="22"/>
        </w:rPr>
        <w:t xml:space="preserve">he </w:t>
      </w:r>
      <w:r w:rsidR="00C90210">
        <w:rPr>
          <w:sz w:val="22"/>
          <w:szCs w:val="22"/>
        </w:rPr>
        <w:t xml:space="preserve">key changes the </w:t>
      </w:r>
      <w:r w:rsidR="00DA3493">
        <w:rPr>
          <w:sz w:val="22"/>
          <w:szCs w:val="22"/>
        </w:rPr>
        <w:t xml:space="preserve">Ministry </w:t>
      </w:r>
      <w:r w:rsidR="00C90210">
        <w:rPr>
          <w:sz w:val="22"/>
          <w:szCs w:val="22"/>
        </w:rPr>
        <w:t>made to the Strategy after consultation and before submitting its proposals to the Gambling Commission were:</w:t>
      </w:r>
    </w:p>
    <w:p w:rsidR="00B4518B" w:rsidRDefault="00391211" w:rsidP="00C90210">
      <w:pPr>
        <w:numPr>
          <w:ilvl w:val="0"/>
          <w:numId w:val="13"/>
        </w:numPr>
        <w:spacing w:before="120"/>
        <w:ind w:left="993" w:hanging="426"/>
        <w:rPr>
          <w:sz w:val="22"/>
          <w:szCs w:val="22"/>
        </w:rPr>
      </w:pPr>
      <w:r>
        <w:rPr>
          <w:sz w:val="22"/>
          <w:szCs w:val="22"/>
        </w:rPr>
        <w:t>t</w:t>
      </w:r>
      <w:r w:rsidR="00C90210">
        <w:rPr>
          <w:sz w:val="22"/>
          <w:szCs w:val="22"/>
        </w:rPr>
        <w:t>he inclusion of an edited version of the 2015 Needs Assessment as an overview of the gambling environment, at the front of the nine-year Strategic Plan component of the proposed Strategy</w:t>
      </w:r>
    </w:p>
    <w:p w:rsidR="00391211" w:rsidRDefault="00391211" w:rsidP="00C90210">
      <w:pPr>
        <w:numPr>
          <w:ilvl w:val="0"/>
          <w:numId w:val="13"/>
        </w:numPr>
        <w:spacing w:before="120"/>
        <w:ind w:left="993" w:hanging="426"/>
        <w:rPr>
          <w:sz w:val="22"/>
          <w:szCs w:val="22"/>
        </w:rPr>
      </w:pPr>
      <w:r>
        <w:rPr>
          <w:sz w:val="22"/>
          <w:szCs w:val="22"/>
        </w:rPr>
        <w:t>a short section in the overview discussing the harmful impacts on children living with a parent or caregiver who has a serious gambling problem</w:t>
      </w:r>
    </w:p>
    <w:p w:rsidR="00C90210" w:rsidRDefault="00391211" w:rsidP="00C90210">
      <w:pPr>
        <w:numPr>
          <w:ilvl w:val="0"/>
          <w:numId w:val="13"/>
        </w:numPr>
        <w:spacing w:before="120"/>
        <w:ind w:left="993" w:hanging="426"/>
        <w:rPr>
          <w:sz w:val="22"/>
          <w:szCs w:val="22"/>
        </w:rPr>
      </w:pPr>
      <w:r>
        <w:rPr>
          <w:sz w:val="22"/>
          <w:szCs w:val="22"/>
        </w:rPr>
        <w:t>a short section in the overview discussing gambling harm among older adults</w:t>
      </w:r>
    </w:p>
    <w:p w:rsidR="00391211" w:rsidRDefault="00391211" w:rsidP="00C90210">
      <w:pPr>
        <w:numPr>
          <w:ilvl w:val="0"/>
          <w:numId w:val="13"/>
        </w:numPr>
        <w:spacing w:before="120"/>
        <w:ind w:left="993" w:hanging="426"/>
        <w:rPr>
          <w:sz w:val="22"/>
          <w:szCs w:val="22"/>
        </w:rPr>
      </w:pPr>
      <w:r>
        <w:rPr>
          <w:sz w:val="22"/>
          <w:szCs w:val="22"/>
        </w:rPr>
        <w:lastRenderedPageBreak/>
        <w:t>the updating of the intervention service data in the overview to refer to the 2014/15 year</w:t>
      </w:r>
    </w:p>
    <w:p w:rsidR="00B4518B" w:rsidRDefault="00391211" w:rsidP="00C90210">
      <w:pPr>
        <w:numPr>
          <w:ilvl w:val="0"/>
          <w:numId w:val="13"/>
        </w:numPr>
        <w:spacing w:before="120"/>
        <w:ind w:left="993" w:hanging="426"/>
        <w:rPr>
          <w:sz w:val="22"/>
          <w:szCs w:val="22"/>
        </w:rPr>
      </w:pPr>
      <w:r w:rsidRPr="00391211">
        <w:rPr>
          <w:sz w:val="22"/>
          <w:szCs w:val="22"/>
        </w:rPr>
        <w:t>some limited re-drafting in several sections, discussing the vulnerability of certain</w:t>
      </w:r>
      <w:r>
        <w:rPr>
          <w:sz w:val="22"/>
          <w:szCs w:val="22"/>
        </w:rPr>
        <w:t xml:space="preserve"> segments of the Asian population to gambling harm</w:t>
      </w:r>
    </w:p>
    <w:p w:rsidR="00391211" w:rsidRDefault="00391211" w:rsidP="00C90210">
      <w:pPr>
        <w:numPr>
          <w:ilvl w:val="0"/>
          <w:numId w:val="13"/>
        </w:numPr>
        <w:spacing w:before="120"/>
        <w:ind w:left="993" w:hanging="426"/>
        <w:rPr>
          <w:sz w:val="22"/>
          <w:szCs w:val="22"/>
        </w:rPr>
      </w:pPr>
      <w:r>
        <w:rPr>
          <w:sz w:val="22"/>
          <w:szCs w:val="22"/>
        </w:rPr>
        <w:t>some strengthening of the section on public health</w:t>
      </w:r>
    </w:p>
    <w:p w:rsidR="00391211" w:rsidRDefault="00391211" w:rsidP="00C90210">
      <w:pPr>
        <w:numPr>
          <w:ilvl w:val="0"/>
          <w:numId w:val="13"/>
        </w:numPr>
        <w:spacing w:before="120"/>
        <w:ind w:left="993" w:hanging="426"/>
        <w:rPr>
          <w:sz w:val="22"/>
          <w:szCs w:val="22"/>
        </w:rPr>
      </w:pPr>
      <w:r>
        <w:rPr>
          <w:sz w:val="22"/>
          <w:szCs w:val="22"/>
        </w:rPr>
        <w:t xml:space="preserve">a reference in one of the objectives to </w:t>
      </w:r>
      <w:r>
        <w:rPr>
          <w:i/>
          <w:sz w:val="22"/>
          <w:szCs w:val="22"/>
        </w:rPr>
        <w:t>Supporting Parents</w:t>
      </w:r>
      <w:r w:rsidR="000B39E4">
        <w:rPr>
          <w:i/>
          <w:sz w:val="22"/>
          <w:szCs w:val="22"/>
        </w:rPr>
        <w:t>,</w:t>
      </w:r>
      <w:r>
        <w:rPr>
          <w:i/>
          <w:sz w:val="22"/>
          <w:szCs w:val="22"/>
        </w:rPr>
        <w:t xml:space="preserve"> Healthy Children</w:t>
      </w:r>
      <w:r>
        <w:rPr>
          <w:sz w:val="22"/>
          <w:szCs w:val="22"/>
        </w:rPr>
        <w:t>, a guideline covering the implementation of systems, policies and practices to identify and address the needs of parents with mental health and/or addiction issues.</w:t>
      </w:r>
    </w:p>
    <w:p w:rsidR="00915E93" w:rsidRPr="00DA3493" w:rsidRDefault="00915E93" w:rsidP="00DA3493">
      <w:pPr>
        <w:rPr>
          <w:sz w:val="22"/>
          <w:szCs w:val="22"/>
          <w:lang w:eastAsia="en-US"/>
        </w:rPr>
      </w:pPr>
    </w:p>
    <w:p w:rsidR="009F2D15" w:rsidRDefault="006C7F92" w:rsidP="000C7147">
      <w:pPr>
        <w:pStyle w:val="Heading3"/>
      </w:pPr>
      <w:r>
        <w:t>Comments on</w:t>
      </w:r>
      <w:r w:rsidR="009F2D15">
        <w:t xml:space="preserve"> the </w:t>
      </w:r>
      <w:r w:rsidR="009F2D15" w:rsidRPr="00B77D78">
        <w:t>problem gambling levy</w:t>
      </w:r>
    </w:p>
    <w:p w:rsidR="009F2D15" w:rsidRPr="00D26ACB" w:rsidRDefault="00CB4CFB" w:rsidP="00AC2E40">
      <w:pPr>
        <w:numPr>
          <w:ilvl w:val="0"/>
          <w:numId w:val="41"/>
        </w:numPr>
        <w:ind w:left="567" w:hanging="567"/>
        <w:rPr>
          <w:sz w:val="22"/>
          <w:szCs w:val="22"/>
        </w:rPr>
      </w:pPr>
      <w:r>
        <w:rPr>
          <w:sz w:val="22"/>
          <w:szCs w:val="22"/>
        </w:rPr>
        <w:t xml:space="preserve">Most of the </w:t>
      </w:r>
      <w:r w:rsidR="00A06262">
        <w:rPr>
          <w:sz w:val="22"/>
          <w:szCs w:val="22"/>
        </w:rPr>
        <w:t>submissions</w:t>
      </w:r>
      <w:r>
        <w:rPr>
          <w:sz w:val="22"/>
          <w:szCs w:val="22"/>
        </w:rPr>
        <w:t xml:space="preserve"> </w:t>
      </w:r>
      <w:r w:rsidR="009F2D15" w:rsidRPr="00D26ACB">
        <w:rPr>
          <w:sz w:val="22"/>
          <w:szCs w:val="22"/>
        </w:rPr>
        <w:t xml:space="preserve">about the </w:t>
      </w:r>
      <w:r>
        <w:rPr>
          <w:sz w:val="22"/>
          <w:szCs w:val="22"/>
        </w:rPr>
        <w:t xml:space="preserve">proposed </w:t>
      </w:r>
      <w:r w:rsidR="009F2D15" w:rsidRPr="00D26ACB">
        <w:rPr>
          <w:sz w:val="22"/>
          <w:szCs w:val="22"/>
        </w:rPr>
        <w:t xml:space="preserve">problem gambling levy </w:t>
      </w:r>
      <w:r>
        <w:rPr>
          <w:sz w:val="22"/>
          <w:szCs w:val="22"/>
        </w:rPr>
        <w:t xml:space="preserve">focused on </w:t>
      </w:r>
      <w:r w:rsidR="00806F15">
        <w:rPr>
          <w:sz w:val="22"/>
          <w:szCs w:val="22"/>
        </w:rPr>
        <w:t>two issues. These were</w:t>
      </w:r>
      <w:r w:rsidR="0063227D">
        <w:rPr>
          <w:sz w:val="22"/>
          <w:szCs w:val="22"/>
        </w:rPr>
        <w:t xml:space="preserve"> </w:t>
      </w:r>
      <w:r>
        <w:rPr>
          <w:sz w:val="22"/>
          <w:szCs w:val="22"/>
        </w:rPr>
        <w:t>the proposed weighting</w:t>
      </w:r>
      <w:r w:rsidR="00391211">
        <w:rPr>
          <w:sz w:val="22"/>
          <w:szCs w:val="22"/>
        </w:rPr>
        <w:t xml:space="preserve"> and the calculation of the new variable in the formula</w:t>
      </w:r>
      <w:r w:rsidR="00D5540E">
        <w:rPr>
          <w:sz w:val="22"/>
          <w:szCs w:val="22"/>
        </w:rPr>
        <w:t xml:space="preserve"> relating to the </w:t>
      </w:r>
      <w:r w:rsidR="00391211">
        <w:rPr>
          <w:sz w:val="22"/>
          <w:szCs w:val="22"/>
        </w:rPr>
        <w:t>under-recovery or over-recovery by sector of levy in previous levy periods</w:t>
      </w:r>
      <w:r w:rsidR="00D5540E">
        <w:rPr>
          <w:sz w:val="22"/>
          <w:szCs w:val="22"/>
        </w:rPr>
        <w:t xml:space="preserve"> (</w:t>
      </w:r>
      <w:r w:rsidR="00D5540E" w:rsidRPr="00D5540E">
        <w:rPr>
          <w:b/>
          <w:sz w:val="22"/>
          <w:szCs w:val="22"/>
        </w:rPr>
        <w:t>R</w:t>
      </w:r>
      <w:r w:rsidR="00D5540E">
        <w:rPr>
          <w:sz w:val="22"/>
          <w:szCs w:val="22"/>
        </w:rPr>
        <w:t>)</w:t>
      </w:r>
      <w:r>
        <w:rPr>
          <w:sz w:val="22"/>
          <w:szCs w:val="22"/>
        </w:rPr>
        <w:t>.</w:t>
      </w:r>
    </w:p>
    <w:p w:rsidR="00915E93" w:rsidRPr="00D26ACB" w:rsidRDefault="00915E93" w:rsidP="00AC2E40">
      <w:pPr>
        <w:rPr>
          <w:sz w:val="22"/>
          <w:szCs w:val="22"/>
        </w:rPr>
      </w:pPr>
    </w:p>
    <w:p w:rsidR="00707081" w:rsidRDefault="00707081" w:rsidP="00707081">
      <w:pPr>
        <w:pStyle w:val="Heading3"/>
      </w:pPr>
      <w:r>
        <w:t>C</w:t>
      </w:r>
      <w:r w:rsidRPr="00B77D78">
        <w:t xml:space="preserve">hanges to the </w:t>
      </w:r>
      <w:r w:rsidR="00AC2E40">
        <w:t xml:space="preserve">problem gambling </w:t>
      </w:r>
      <w:r>
        <w:t>levy</w:t>
      </w:r>
    </w:p>
    <w:p w:rsidR="00D5540E" w:rsidRDefault="00A06262" w:rsidP="00AC2E40">
      <w:pPr>
        <w:numPr>
          <w:ilvl w:val="0"/>
          <w:numId w:val="41"/>
        </w:numPr>
        <w:ind w:left="567" w:hanging="567"/>
        <w:rPr>
          <w:sz w:val="22"/>
          <w:szCs w:val="22"/>
        </w:rPr>
      </w:pPr>
      <w:r>
        <w:rPr>
          <w:sz w:val="22"/>
          <w:szCs w:val="22"/>
        </w:rPr>
        <w:t>After its consultation process and before submitting its final proposals to the Gambling Commission, t</w:t>
      </w:r>
      <w:r w:rsidR="0063227D" w:rsidRPr="0063227D">
        <w:rPr>
          <w:sz w:val="22"/>
          <w:szCs w:val="22"/>
        </w:rPr>
        <w:t xml:space="preserve">he Ministry updated its levy proposals to reflect </w:t>
      </w:r>
      <w:r w:rsidR="00D5540E">
        <w:rPr>
          <w:sz w:val="22"/>
          <w:szCs w:val="22"/>
        </w:rPr>
        <w:t>IRD</w:t>
      </w:r>
      <w:r w:rsidR="00AC2E40">
        <w:rPr>
          <w:sz w:val="22"/>
          <w:szCs w:val="22"/>
        </w:rPr>
        <w:t xml:space="preserve"> player expenditure data to the end of the 2014/15 year</w:t>
      </w:r>
      <w:r w:rsidR="0063227D" w:rsidRPr="0063227D">
        <w:rPr>
          <w:sz w:val="22"/>
          <w:szCs w:val="22"/>
        </w:rPr>
        <w:t xml:space="preserve">. </w:t>
      </w:r>
    </w:p>
    <w:p w:rsidR="00D5540E" w:rsidRDefault="00D5540E" w:rsidP="00D5540E">
      <w:pPr>
        <w:rPr>
          <w:sz w:val="22"/>
          <w:szCs w:val="22"/>
        </w:rPr>
      </w:pPr>
    </w:p>
    <w:p w:rsidR="00874298" w:rsidRDefault="00AC2E40" w:rsidP="00AC2E40">
      <w:pPr>
        <w:numPr>
          <w:ilvl w:val="0"/>
          <w:numId w:val="41"/>
        </w:numPr>
        <w:ind w:left="567" w:hanging="567"/>
        <w:rPr>
          <w:sz w:val="22"/>
          <w:szCs w:val="22"/>
        </w:rPr>
      </w:pPr>
      <w:r>
        <w:rPr>
          <w:sz w:val="22"/>
          <w:szCs w:val="22"/>
        </w:rPr>
        <w:t>In response to a submission made to the consultation document, the Ministry also attributed its under-spending to the levy periods in which it occurred, rather than to the twelve-year period as a whole.</w:t>
      </w:r>
    </w:p>
    <w:p w:rsidR="00874298" w:rsidRDefault="00874298" w:rsidP="00AC2E40">
      <w:pPr>
        <w:rPr>
          <w:sz w:val="22"/>
          <w:szCs w:val="22"/>
        </w:rPr>
      </w:pPr>
    </w:p>
    <w:p w:rsidR="00A06262" w:rsidRDefault="00343794" w:rsidP="00AC2E40">
      <w:pPr>
        <w:numPr>
          <w:ilvl w:val="0"/>
          <w:numId w:val="41"/>
        </w:numPr>
        <w:ind w:left="567" w:hanging="567"/>
        <w:rPr>
          <w:sz w:val="22"/>
          <w:szCs w:val="22"/>
        </w:rPr>
      </w:pPr>
      <w:r>
        <w:rPr>
          <w:sz w:val="22"/>
          <w:szCs w:val="22"/>
        </w:rPr>
        <w:t xml:space="preserve">The </w:t>
      </w:r>
      <w:r w:rsidR="00A06262">
        <w:rPr>
          <w:sz w:val="22"/>
          <w:szCs w:val="22"/>
        </w:rPr>
        <w:t xml:space="preserve">Ministry </w:t>
      </w:r>
      <w:r w:rsidR="00AC2E40">
        <w:rPr>
          <w:sz w:val="22"/>
          <w:szCs w:val="22"/>
        </w:rPr>
        <w:t>still proposed a 20/8</w:t>
      </w:r>
      <w:r w:rsidR="00A06262">
        <w:rPr>
          <w:sz w:val="22"/>
          <w:szCs w:val="22"/>
        </w:rPr>
        <w:t>0 weighting,</w:t>
      </w:r>
      <w:r w:rsidR="00A06262" w:rsidRPr="00A06262">
        <w:rPr>
          <w:sz w:val="22"/>
          <w:szCs w:val="22"/>
        </w:rPr>
        <w:t xml:space="preserve"> </w:t>
      </w:r>
      <w:r w:rsidR="00A06262">
        <w:rPr>
          <w:sz w:val="22"/>
          <w:szCs w:val="22"/>
        </w:rPr>
        <w:t xml:space="preserve">and the Gambling Commission </w:t>
      </w:r>
      <w:r w:rsidR="003D1044">
        <w:rPr>
          <w:sz w:val="22"/>
          <w:szCs w:val="22"/>
        </w:rPr>
        <w:t>endorse</w:t>
      </w:r>
      <w:r>
        <w:rPr>
          <w:sz w:val="22"/>
          <w:szCs w:val="22"/>
        </w:rPr>
        <w:t>d</w:t>
      </w:r>
      <w:r w:rsidR="00A06262">
        <w:rPr>
          <w:sz w:val="22"/>
          <w:szCs w:val="22"/>
        </w:rPr>
        <w:t xml:space="preserve"> this </w:t>
      </w:r>
      <w:r w:rsidR="00341FED">
        <w:rPr>
          <w:sz w:val="22"/>
          <w:szCs w:val="22"/>
        </w:rPr>
        <w:t>recommendation</w:t>
      </w:r>
      <w:r w:rsidR="00A06262">
        <w:rPr>
          <w:sz w:val="22"/>
          <w:szCs w:val="22"/>
        </w:rPr>
        <w:t>.</w:t>
      </w:r>
    </w:p>
    <w:p w:rsidR="00A06262" w:rsidRDefault="00A06262" w:rsidP="00A06262">
      <w:pPr>
        <w:rPr>
          <w:sz w:val="22"/>
          <w:szCs w:val="22"/>
        </w:rPr>
      </w:pPr>
    </w:p>
    <w:p w:rsidR="0063227D" w:rsidRDefault="00AC2E40" w:rsidP="00AC2E40">
      <w:pPr>
        <w:numPr>
          <w:ilvl w:val="0"/>
          <w:numId w:val="41"/>
        </w:numPr>
        <w:ind w:left="567" w:hanging="567"/>
        <w:rPr>
          <w:sz w:val="22"/>
          <w:szCs w:val="22"/>
        </w:rPr>
      </w:pPr>
      <w:r>
        <w:rPr>
          <w:sz w:val="22"/>
          <w:szCs w:val="22"/>
        </w:rPr>
        <w:t xml:space="preserve">During the consultation process, several </w:t>
      </w:r>
      <w:r w:rsidR="000B39E4">
        <w:rPr>
          <w:sz w:val="22"/>
          <w:szCs w:val="22"/>
        </w:rPr>
        <w:t>NCGM</w:t>
      </w:r>
      <w:r>
        <w:rPr>
          <w:sz w:val="22"/>
          <w:szCs w:val="22"/>
        </w:rPr>
        <w:t xml:space="preserve"> operators submitted that </w:t>
      </w:r>
      <w:r w:rsidRPr="00AC2E40">
        <w:rPr>
          <w:b/>
          <w:sz w:val="22"/>
          <w:szCs w:val="22"/>
        </w:rPr>
        <w:t>R</w:t>
      </w:r>
      <w:r>
        <w:rPr>
          <w:sz w:val="22"/>
          <w:szCs w:val="22"/>
        </w:rPr>
        <w:t xml:space="preserve"> should be </w:t>
      </w:r>
      <w:r w:rsidR="00343794">
        <w:rPr>
          <w:sz w:val="22"/>
          <w:szCs w:val="22"/>
        </w:rPr>
        <w:t>estimated</w:t>
      </w:r>
      <w:r>
        <w:rPr>
          <w:sz w:val="22"/>
          <w:szCs w:val="22"/>
        </w:rPr>
        <w:t xml:space="preserve"> after first retrospectively re-calculating the share of the Ministry’s spending that was required from each levy-paying sector in each previous levy period.  </w:t>
      </w:r>
    </w:p>
    <w:p w:rsidR="00AC2E40" w:rsidRDefault="00AC2E40" w:rsidP="00AC2E40">
      <w:pPr>
        <w:rPr>
          <w:sz w:val="22"/>
          <w:szCs w:val="22"/>
        </w:rPr>
      </w:pPr>
    </w:p>
    <w:p w:rsidR="00AC2E40" w:rsidRPr="0063227D" w:rsidRDefault="00343794" w:rsidP="00AC2E40">
      <w:pPr>
        <w:numPr>
          <w:ilvl w:val="0"/>
          <w:numId w:val="41"/>
        </w:numPr>
        <w:ind w:left="567" w:hanging="567"/>
        <w:rPr>
          <w:sz w:val="22"/>
          <w:szCs w:val="22"/>
        </w:rPr>
      </w:pPr>
      <w:r>
        <w:rPr>
          <w:sz w:val="22"/>
          <w:szCs w:val="22"/>
        </w:rPr>
        <w:t>The Ministry’s view is that nothing in the Act suggests that each sector’s levy liability for each period should be re-calculated in this way.  The Commission considered that the approach advanced by the Ministry is the most likely to reflect legislative intent.</w:t>
      </w:r>
    </w:p>
    <w:p w:rsidR="009F2D15" w:rsidRPr="00B77D78" w:rsidRDefault="000C7147" w:rsidP="000C7147">
      <w:pPr>
        <w:pStyle w:val="Heading1"/>
      </w:pPr>
      <w:bookmarkStart w:id="52" w:name="_Toc259613876"/>
      <w:r>
        <w:br w:type="page"/>
      </w:r>
      <w:bookmarkStart w:id="53" w:name="_Toc440029228"/>
      <w:r w:rsidR="009F2D15" w:rsidRPr="00B77D78">
        <w:lastRenderedPageBreak/>
        <w:t>Conclusions and Recommendations</w:t>
      </w:r>
      <w:bookmarkEnd w:id="52"/>
      <w:bookmarkEnd w:id="53"/>
    </w:p>
    <w:p w:rsidR="00CB5095" w:rsidRPr="00B77D78" w:rsidRDefault="00567B97" w:rsidP="00CB5095">
      <w:pPr>
        <w:pStyle w:val="Heading2"/>
      </w:pPr>
      <w:bookmarkStart w:id="54" w:name="_Toc440029229"/>
      <w:r>
        <w:t>Whether to allow</w:t>
      </w:r>
      <w:r w:rsidR="00CB5095">
        <w:t xml:space="preserve"> the strategy and levy simply to expire</w:t>
      </w:r>
      <w:bookmarkEnd w:id="54"/>
    </w:p>
    <w:p w:rsidR="00CB5095" w:rsidRPr="009163C5" w:rsidRDefault="00CB5095" w:rsidP="00343794">
      <w:pPr>
        <w:numPr>
          <w:ilvl w:val="0"/>
          <w:numId w:val="41"/>
        </w:numPr>
        <w:ind w:left="567" w:hanging="567"/>
        <w:rPr>
          <w:sz w:val="22"/>
          <w:szCs w:val="22"/>
        </w:rPr>
      </w:pPr>
      <w:r>
        <w:rPr>
          <w:sz w:val="22"/>
          <w:szCs w:val="22"/>
        </w:rPr>
        <w:t xml:space="preserve">This option </w:t>
      </w:r>
      <w:r w:rsidR="00343794">
        <w:rPr>
          <w:sz w:val="22"/>
          <w:szCs w:val="22"/>
        </w:rPr>
        <w:t>could be considered to be</w:t>
      </w:r>
      <w:r>
        <w:rPr>
          <w:sz w:val="22"/>
          <w:szCs w:val="22"/>
        </w:rPr>
        <w:t xml:space="preserve"> inconsistent with the intent of the </w:t>
      </w:r>
      <w:r w:rsidRPr="009163C5">
        <w:rPr>
          <w:sz w:val="22"/>
          <w:szCs w:val="22"/>
        </w:rPr>
        <w:t xml:space="preserve">Act. </w:t>
      </w:r>
      <w:r w:rsidR="00CB2E54">
        <w:rPr>
          <w:sz w:val="22"/>
          <w:szCs w:val="22"/>
        </w:rPr>
        <w:t xml:space="preserve"> </w:t>
      </w:r>
      <w:r>
        <w:rPr>
          <w:sz w:val="22"/>
          <w:szCs w:val="22"/>
        </w:rPr>
        <w:t>It is not recommended.</w:t>
      </w:r>
      <w:r w:rsidRPr="009163C5">
        <w:rPr>
          <w:sz w:val="22"/>
          <w:szCs w:val="22"/>
        </w:rPr>
        <w:t xml:space="preserve"> </w:t>
      </w:r>
    </w:p>
    <w:p w:rsidR="00CB5095" w:rsidRPr="009163C5" w:rsidRDefault="00CB5095" w:rsidP="00343794">
      <w:pPr>
        <w:rPr>
          <w:sz w:val="22"/>
          <w:szCs w:val="22"/>
        </w:rPr>
      </w:pPr>
    </w:p>
    <w:p w:rsidR="009F2D15" w:rsidRPr="00B77D78" w:rsidRDefault="005E6F7A" w:rsidP="000C7147">
      <w:pPr>
        <w:pStyle w:val="Heading2"/>
      </w:pPr>
      <w:bookmarkStart w:id="55" w:name="_Toc440029230"/>
      <w:r>
        <w:t xml:space="preserve">Ministry’s appropriation </w:t>
      </w:r>
      <w:r w:rsidR="00CB2E54">
        <w:t>for 2016/17 to 2018</w:t>
      </w:r>
      <w:r>
        <w:t>/1</w:t>
      </w:r>
      <w:r w:rsidR="00CB2E54">
        <w:t>9</w:t>
      </w:r>
      <w:bookmarkEnd w:id="55"/>
    </w:p>
    <w:p w:rsidR="00B97B93" w:rsidRDefault="007E2F44" w:rsidP="00A95B9A">
      <w:pPr>
        <w:numPr>
          <w:ilvl w:val="0"/>
          <w:numId w:val="41"/>
        </w:numPr>
        <w:ind w:left="567" w:hanging="567"/>
        <w:rPr>
          <w:sz w:val="22"/>
          <w:szCs w:val="22"/>
        </w:rPr>
      </w:pPr>
      <w:r>
        <w:rPr>
          <w:sz w:val="22"/>
          <w:szCs w:val="22"/>
        </w:rPr>
        <w:t>T</w:t>
      </w:r>
      <w:r w:rsidR="00D57782">
        <w:rPr>
          <w:sz w:val="22"/>
          <w:szCs w:val="22"/>
        </w:rPr>
        <w:t xml:space="preserve">he Ministry </w:t>
      </w:r>
      <w:r>
        <w:rPr>
          <w:sz w:val="22"/>
          <w:szCs w:val="22"/>
        </w:rPr>
        <w:t>seeks an appropriation of</w:t>
      </w:r>
      <w:r w:rsidR="008E36D4">
        <w:rPr>
          <w:sz w:val="22"/>
          <w:szCs w:val="22"/>
        </w:rPr>
        <w:t xml:space="preserve"> $55.339 million</w:t>
      </w:r>
      <w:r w:rsidR="00B97B93">
        <w:rPr>
          <w:sz w:val="22"/>
          <w:szCs w:val="22"/>
        </w:rPr>
        <w:t xml:space="preserve"> (GST exclusive) to implement its </w:t>
      </w:r>
      <w:r w:rsidR="0009012D">
        <w:rPr>
          <w:sz w:val="22"/>
          <w:szCs w:val="22"/>
        </w:rPr>
        <w:t>Strategy to Prevent and Minimise Gambling Harm for 2016/17 to 2018/19</w:t>
      </w:r>
      <w:r w:rsidR="00CB2E54">
        <w:rPr>
          <w:sz w:val="22"/>
          <w:szCs w:val="22"/>
        </w:rPr>
        <w:t xml:space="preserve"> (s</w:t>
      </w:r>
      <w:r w:rsidR="00A95B9A">
        <w:rPr>
          <w:sz w:val="22"/>
          <w:szCs w:val="22"/>
        </w:rPr>
        <w:t>ee Table 5</w:t>
      </w:r>
      <w:r w:rsidR="00CB2E54">
        <w:rPr>
          <w:sz w:val="22"/>
          <w:szCs w:val="22"/>
        </w:rPr>
        <w:t>)</w:t>
      </w:r>
      <w:r w:rsidR="00B97B93">
        <w:rPr>
          <w:sz w:val="22"/>
          <w:szCs w:val="22"/>
        </w:rPr>
        <w:t xml:space="preserve">. </w:t>
      </w:r>
      <w:r>
        <w:rPr>
          <w:sz w:val="22"/>
          <w:szCs w:val="22"/>
        </w:rPr>
        <w:t xml:space="preserve">The Gambling Commission </w:t>
      </w:r>
      <w:r w:rsidR="0009012D">
        <w:rPr>
          <w:sz w:val="22"/>
          <w:szCs w:val="22"/>
        </w:rPr>
        <w:t xml:space="preserve">essentially </w:t>
      </w:r>
      <w:r>
        <w:rPr>
          <w:sz w:val="22"/>
          <w:szCs w:val="22"/>
        </w:rPr>
        <w:t xml:space="preserve">endorsed the Ministry’s </w:t>
      </w:r>
      <w:r w:rsidR="0009012D">
        <w:rPr>
          <w:sz w:val="22"/>
          <w:szCs w:val="22"/>
        </w:rPr>
        <w:t>proposed Strategy</w:t>
      </w:r>
      <w:r>
        <w:rPr>
          <w:sz w:val="22"/>
          <w:szCs w:val="22"/>
        </w:rPr>
        <w:t xml:space="preserve"> and </w:t>
      </w:r>
      <w:r w:rsidR="009D138A">
        <w:rPr>
          <w:sz w:val="22"/>
          <w:szCs w:val="22"/>
        </w:rPr>
        <w:t>costings</w:t>
      </w:r>
      <w:r>
        <w:rPr>
          <w:sz w:val="22"/>
          <w:szCs w:val="22"/>
        </w:rPr>
        <w:t xml:space="preserve">. </w:t>
      </w:r>
    </w:p>
    <w:p w:rsidR="0031565C" w:rsidRDefault="0031565C" w:rsidP="0031565C">
      <w:pPr>
        <w:rPr>
          <w:sz w:val="22"/>
          <w:szCs w:val="22"/>
        </w:rPr>
      </w:pPr>
    </w:p>
    <w:p w:rsidR="0031565C" w:rsidRPr="003F5586" w:rsidRDefault="0031565C" w:rsidP="0031565C">
      <w:pPr>
        <w:pStyle w:val="Table"/>
        <w:ind w:left="567" w:firstLine="0"/>
        <w:rPr>
          <w:sz w:val="20"/>
        </w:rPr>
      </w:pPr>
      <w:bookmarkStart w:id="56" w:name="_Toc443057205"/>
      <w:r w:rsidRPr="003F5586">
        <w:rPr>
          <w:sz w:val="20"/>
        </w:rPr>
        <w:t xml:space="preserve">Table </w:t>
      </w:r>
      <w:r>
        <w:rPr>
          <w:sz w:val="20"/>
        </w:rPr>
        <w:t>5</w:t>
      </w:r>
      <w:r w:rsidRPr="003F5586">
        <w:rPr>
          <w:sz w:val="20"/>
        </w:rPr>
        <w:t xml:space="preserve">: </w:t>
      </w:r>
      <w:r w:rsidR="00EA16D7">
        <w:rPr>
          <w:sz w:val="20"/>
        </w:rPr>
        <w:t xml:space="preserve">Proposed </w:t>
      </w:r>
      <w:r>
        <w:rPr>
          <w:sz w:val="20"/>
        </w:rPr>
        <w:t>Ministry of Health Budget (GST exclusive), 2016/17 to 2018/19</w:t>
      </w:r>
      <w:bookmarkEnd w:id="56"/>
    </w:p>
    <w:tbl>
      <w:tblPr>
        <w:tblW w:w="8562" w:type="dxa"/>
        <w:tblInd w:w="624" w:type="dxa"/>
        <w:tblBorders>
          <w:top w:val="single" w:sz="12" w:space="0" w:color="auto"/>
          <w:bottom w:val="single" w:sz="12"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438"/>
        <w:gridCol w:w="1531"/>
        <w:gridCol w:w="1531"/>
        <w:gridCol w:w="1531"/>
        <w:gridCol w:w="1531"/>
      </w:tblGrid>
      <w:tr w:rsidR="0031565C" w:rsidRPr="003F5586" w:rsidTr="00EA16D7">
        <w:trPr>
          <w:cantSplit/>
        </w:trPr>
        <w:tc>
          <w:tcPr>
            <w:tcW w:w="2438" w:type="dxa"/>
            <w:tcBorders>
              <w:top w:val="single" w:sz="12" w:space="0" w:color="auto"/>
              <w:left w:val="nil"/>
              <w:bottom w:val="single" w:sz="4" w:space="0" w:color="auto"/>
              <w:right w:val="single" w:sz="4" w:space="0" w:color="auto"/>
            </w:tcBorders>
            <w:shd w:val="clear" w:color="auto" w:fill="D9D9D9"/>
            <w:noWrap/>
            <w:hideMark/>
          </w:tcPr>
          <w:p w:rsidR="0031565C" w:rsidRPr="003F5586" w:rsidRDefault="00EA16D7" w:rsidP="00EA16D7">
            <w:pPr>
              <w:pStyle w:val="TableText"/>
              <w:rPr>
                <w:rFonts w:eastAsia="Arial Unicode MS"/>
                <w:b/>
              </w:rPr>
            </w:pPr>
            <w:r>
              <w:rPr>
                <w:rFonts w:eastAsia="Arial Unicode MS"/>
                <w:b/>
              </w:rPr>
              <w:t>Service</w:t>
            </w:r>
          </w:p>
        </w:tc>
        <w:tc>
          <w:tcPr>
            <w:tcW w:w="1531" w:type="dxa"/>
            <w:tcBorders>
              <w:top w:val="single" w:sz="12" w:space="0" w:color="auto"/>
              <w:left w:val="single" w:sz="4" w:space="0" w:color="auto"/>
              <w:bottom w:val="single" w:sz="4" w:space="0" w:color="auto"/>
              <w:right w:val="single" w:sz="4" w:space="0" w:color="auto"/>
            </w:tcBorders>
            <w:shd w:val="clear" w:color="auto" w:fill="D9D9D9"/>
            <w:noWrap/>
            <w:hideMark/>
          </w:tcPr>
          <w:p w:rsidR="0031565C" w:rsidRPr="003F5586" w:rsidRDefault="00EA16D7" w:rsidP="00EA16D7">
            <w:pPr>
              <w:pStyle w:val="TableText"/>
              <w:jc w:val="center"/>
              <w:rPr>
                <w:rFonts w:eastAsia="Arial Unicode MS"/>
                <w:b/>
              </w:rPr>
            </w:pPr>
            <w:r>
              <w:rPr>
                <w:b/>
              </w:rPr>
              <w:t>2016/17</w:t>
            </w:r>
            <w:r w:rsidR="0031565C" w:rsidRPr="003F5586">
              <w:rPr>
                <w:b/>
              </w:rPr>
              <w:t xml:space="preserve"> </w:t>
            </w:r>
            <w:r w:rsidR="0031565C" w:rsidRPr="003F5586">
              <w:rPr>
                <w:b/>
                <w:snapToGrid w:val="0"/>
              </w:rPr>
              <w:t>($</w:t>
            </w:r>
            <w:r w:rsidR="0031565C">
              <w:rPr>
                <w:b/>
                <w:snapToGrid w:val="0"/>
              </w:rPr>
              <w:t>m</w:t>
            </w:r>
            <w:r w:rsidR="0031565C" w:rsidRPr="003F5586">
              <w:rPr>
                <w:b/>
                <w:snapToGrid w:val="0"/>
              </w:rPr>
              <w:t>)</w:t>
            </w:r>
          </w:p>
        </w:tc>
        <w:tc>
          <w:tcPr>
            <w:tcW w:w="1531" w:type="dxa"/>
            <w:tcBorders>
              <w:top w:val="single" w:sz="12" w:space="0" w:color="auto"/>
              <w:left w:val="single" w:sz="4" w:space="0" w:color="auto"/>
              <w:bottom w:val="single" w:sz="4" w:space="0" w:color="auto"/>
              <w:right w:val="single" w:sz="4" w:space="0" w:color="auto"/>
            </w:tcBorders>
            <w:shd w:val="clear" w:color="auto" w:fill="D9D9D9"/>
            <w:noWrap/>
            <w:hideMark/>
          </w:tcPr>
          <w:p w:rsidR="0031565C" w:rsidRPr="003F5586" w:rsidRDefault="00EA16D7" w:rsidP="00EA16D7">
            <w:pPr>
              <w:pStyle w:val="TableText"/>
              <w:jc w:val="center"/>
              <w:rPr>
                <w:rFonts w:eastAsia="Arial Unicode MS"/>
                <w:b/>
              </w:rPr>
            </w:pPr>
            <w:r>
              <w:rPr>
                <w:b/>
              </w:rPr>
              <w:t>2017/18</w:t>
            </w:r>
            <w:r w:rsidR="0031565C" w:rsidRPr="003F5586">
              <w:rPr>
                <w:b/>
              </w:rPr>
              <w:t xml:space="preserve"> </w:t>
            </w:r>
            <w:r w:rsidR="0031565C" w:rsidRPr="003F5586">
              <w:rPr>
                <w:b/>
                <w:snapToGrid w:val="0"/>
              </w:rPr>
              <w:t>($</w:t>
            </w:r>
            <w:r w:rsidR="0031565C">
              <w:rPr>
                <w:b/>
                <w:snapToGrid w:val="0"/>
              </w:rPr>
              <w:t>m</w:t>
            </w:r>
            <w:r w:rsidR="0031565C" w:rsidRPr="003F5586">
              <w:rPr>
                <w:b/>
                <w:snapToGrid w:val="0"/>
              </w:rPr>
              <w:t>)</w:t>
            </w:r>
          </w:p>
        </w:tc>
        <w:tc>
          <w:tcPr>
            <w:tcW w:w="1531" w:type="dxa"/>
            <w:tcBorders>
              <w:top w:val="single" w:sz="12" w:space="0" w:color="auto"/>
              <w:left w:val="single" w:sz="4" w:space="0" w:color="auto"/>
              <w:bottom w:val="single" w:sz="4" w:space="0" w:color="auto"/>
              <w:right w:val="nil"/>
            </w:tcBorders>
            <w:shd w:val="clear" w:color="auto" w:fill="D9D9D9"/>
            <w:noWrap/>
            <w:hideMark/>
          </w:tcPr>
          <w:p w:rsidR="0031565C" w:rsidRPr="003F5586" w:rsidRDefault="00EA16D7" w:rsidP="00EA16D7">
            <w:pPr>
              <w:pStyle w:val="TableText"/>
              <w:jc w:val="center"/>
              <w:rPr>
                <w:rFonts w:eastAsia="Arial Unicode MS"/>
                <w:b/>
              </w:rPr>
            </w:pPr>
            <w:r>
              <w:rPr>
                <w:b/>
              </w:rPr>
              <w:t>2018/19</w:t>
            </w:r>
            <w:r w:rsidR="0031565C" w:rsidRPr="003F5586">
              <w:rPr>
                <w:b/>
              </w:rPr>
              <w:t xml:space="preserve"> </w:t>
            </w:r>
            <w:r w:rsidR="0031565C" w:rsidRPr="003F5586">
              <w:rPr>
                <w:b/>
                <w:snapToGrid w:val="0"/>
              </w:rPr>
              <w:t>($</w:t>
            </w:r>
            <w:r w:rsidR="0031565C">
              <w:rPr>
                <w:b/>
                <w:snapToGrid w:val="0"/>
              </w:rPr>
              <w:t>m</w:t>
            </w:r>
            <w:r w:rsidR="0031565C" w:rsidRPr="003F5586">
              <w:rPr>
                <w:b/>
                <w:snapToGrid w:val="0"/>
              </w:rPr>
              <w:t>)</w:t>
            </w:r>
          </w:p>
        </w:tc>
        <w:tc>
          <w:tcPr>
            <w:tcW w:w="1531" w:type="dxa"/>
            <w:tcBorders>
              <w:top w:val="single" w:sz="12" w:space="0" w:color="auto"/>
              <w:left w:val="single" w:sz="4" w:space="0" w:color="auto"/>
              <w:bottom w:val="single" w:sz="4" w:space="0" w:color="auto"/>
              <w:right w:val="nil"/>
            </w:tcBorders>
            <w:shd w:val="clear" w:color="auto" w:fill="D9D9D9"/>
          </w:tcPr>
          <w:p w:rsidR="0031565C" w:rsidRPr="003F5586" w:rsidRDefault="0031565C" w:rsidP="00EA16D7">
            <w:pPr>
              <w:pStyle w:val="TableText"/>
              <w:jc w:val="center"/>
              <w:rPr>
                <w:b/>
              </w:rPr>
            </w:pPr>
            <w:r>
              <w:rPr>
                <w:b/>
              </w:rPr>
              <w:t>Total ($m)</w:t>
            </w:r>
          </w:p>
        </w:tc>
      </w:tr>
      <w:tr w:rsidR="0031565C" w:rsidRPr="003F5586" w:rsidTr="00EA16D7">
        <w:trPr>
          <w:cantSplit/>
        </w:trPr>
        <w:tc>
          <w:tcPr>
            <w:tcW w:w="2438" w:type="dxa"/>
            <w:tcBorders>
              <w:top w:val="single" w:sz="4" w:space="0" w:color="auto"/>
              <w:left w:val="nil"/>
              <w:bottom w:val="single" w:sz="4" w:space="0" w:color="999999"/>
              <w:right w:val="single" w:sz="4" w:space="0" w:color="auto"/>
            </w:tcBorders>
            <w:noWrap/>
            <w:hideMark/>
          </w:tcPr>
          <w:p w:rsidR="0031565C" w:rsidRPr="003F5586" w:rsidRDefault="0031565C" w:rsidP="00EA16D7">
            <w:pPr>
              <w:pStyle w:val="TableText"/>
              <w:rPr>
                <w:rFonts w:eastAsia="Arial Unicode MS"/>
              </w:rPr>
            </w:pPr>
            <w:r w:rsidRPr="003F5586">
              <w:t>Public health services</w:t>
            </w:r>
          </w:p>
        </w:tc>
        <w:tc>
          <w:tcPr>
            <w:tcW w:w="1531" w:type="dxa"/>
            <w:tcBorders>
              <w:top w:val="single" w:sz="4" w:space="0" w:color="auto"/>
              <w:left w:val="single" w:sz="4" w:space="0" w:color="auto"/>
              <w:bottom w:val="single" w:sz="4" w:space="0" w:color="999999"/>
              <w:right w:val="single" w:sz="4" w:space="0" w:color="auto"/>
            </w:tcBorders>
            <w:noWrap/>
            <w:vAlign w:val="center"/>
            <w:hideMark/>
          </w:tcPr>
          <w:p w:rsidR="0031565C" w:rsidRPr="003F5586" w:rsidRDefault="0031565C" w:rsidP="00EA16D7">
            <w:pPr>
              <w:pStyle w:val="TableText"/>
              <w:jc w:val="center"/>
              <w:rPr>
                <w:rFonts w:eastAsia="Arial Unicode MS"/>
              </w:rPr>
            </w:pPr>
            <w:r>
              <w:rPr>
                <w:rFonts w:eastAsia="Arial Unicode MS"/>
              </w:rPr>
              <w:t>6.</w:t>
            </w:r>
            <w:r w:rsidR="00EA16D7">
              <w:rPr>
                <w:rFonts w:eastAsia="Arial Unicode MS"/>
              </w:rPr>
              <w:t>770</w:t>
            </w:r>
          </w:p>
        </w:tc>
        <w:tc>
          <w:tcPr>
            <w:tcW w:w="1531" w:type="dxa"/>
            <w:tcBorders>
              <w:top w:val="single" w:sz="4" w:space="0" w:color="auto"/>
              <w:left w:val="single" w:sz="4" w:space="0" w:color="auto"/>
              <w:bottom w:val="single" w:sz="4" w:space="0" w:color="999999"/>
              <w:right w:val="single" w:sz="4" w:space="0" w:color="auto"/>
            </w:tcBorders>
            <w:noWrap/>
            <w:vAlign w:val="center"/>
            <w:hideMark/>
          </w:tcPr>
          <w:p w:rsidR="0031565C" w:rsidRPr="003F5586" w:rsidRDefault="0031565C" w:rsidP="00EA16D7">
            <w:pPr>
              <w:pStyle w:val="TableText"/>
              <w:jc w:val="center"/>
              <w:rPr>
                <w:rFonts w:eastAsia="Arial Unicode MS"/>
              </w:rPr>
            </w:pPr>
            <w:r>
              <w:rPr>
                <w:rFonts w:eastAsia="Arial Unicode MS"/>
              </w:rPr>
              <w:t>6.85</w:t>
            </w:r>
            <w:r w:rsidR="00EA16D7">
              <w:rPr>
                <w:rFonts w:eastAsia="Arial Unicode MS"/>
              </w:rPr>
              <w:t>0</w:t>
            </w:r>
          </w:p>
        </w:tc>
        <w:tc>
          <w:tcPr>
            <w:tcW w:w="1531" w:type="dxa"/>
            <w:tcBorders>
              <w:top w:val="single" w:sz="4" w:space="0" w:color="auto"/>
              <w:left w:val="single" w:sz="4" w:space="0" w:color="auto"/>
              <w:bottom w:val="single" w:sz="4" w:space="0" w:color="999999"/>
              <w:right w:val="nil"/>
            </w:tcBorders>
            <w:noWrap/>
            <w:vAlign w:val="center"/>
            <w:hideMark/>
          </w:tcPr>
          <w:p w:rsidR="0031565C" w:rsidRPr="003F5586" w:rsidRDefault="0031565C" w:rsidP="00EA16D7">
            <w:pPr>
              <w:pStyle w:val="TableText"/>
              <w:jc w:val="center"/>
              <w:rPr>
                <w:rFonts w:eastAsia="Arial Unicode MS"/>
              </w:rPr>
            </w:pPr>
            <w:r>
              <w:rPr>
                <w:rFonts w:eastAsia="Arial Unicode MS"/>
              </w:rPr>
              <w:t>6.</w:t>
            </w:r>
            <w:r w:rsidR="00EA16D7">
              <w:rPr>
                <w:rFonts w:eastAsia="Arial Unicode MS"/>
              </w:rPr>
              <w:t>770</w:t>
            </w:r>
          </w:p>
        </w:tc>
        <w:tc>
          <w:tcPr>
            <w:tcW w:w="1531" w:type="dxa"/>
            <w:tcBorders>
              <w:top w:val="single" w:sz="4" w:space="0" w:color="auto"/>
              <w:left w:val="single" w:sz="4" w:space="0" w:color="auto"/>
              <w:bottom w:val="single" w:sz="4" w:space="0" w:color="999999"/>
              <w:right w:val="nil"/>
            </w:tcBorders>
            <w:vAlign w:val="center"/>
          </w:tcPr>
          <w:p w:rsidR="0031565C" w:rsidRPr="003F5586" w:rsidRDefault="0031565C" w:rsidP="00EA16D7">
            <w:pPr>
              <w:pStyle w:val="TableText"/>
              <w:jc w:val="center"/>
              <w:rPr>
                <w:rFonts w:eastAsia="Arial Unicode MS"/>
              </w:rPr>
            </w:pPr>
            <w:r>
              <w:rPr>
                <w:rFonts w:eastAsia="Arial Unicode MS"/>
              </w:rPr>
              <w:t>20.</w:t>
            </w:r>
            <w:r w:rsidR="00EA16D7">
              <w:rPr>
                <w:rFonts w:eastAsia="Arial Unicode MS"/>
              </w:rPr>
              <w:t>390</w:t>
            </w:r>
          </w:p>
        </w:tc>
      </w:tr>
      <w:tr w:rsidR="0031565C" w:rsidRPr="003F5586" w:rsidTr="00EA16D7">
        <w:trPr>
          <w:cantSplit/>
        </w:trPr>
        <w:tc>
          <w:tcPr>
            <w:tcW w:w="2438" w:type="dxa"/>
            <w:tcBorders>
              <w:top w:val="single" w:sz="4" w:space="0" w:color="999999"/>
              <w:left w:val="nil"/>
              <w:bottom w:val="single" w:sz="4" w:space="0" w:color="999999"/>
              <w:right w:val="single" w:sz="4" w:space="0" w:color="auto"/>
            </w:tcBorders>
            <w:noWrap/>
            <w:hideMark/>
          </w:tcPr>
          <w:p w:rsidR="0031565C" w:rsidRPr="003F5586" w:rsidRDefault="0031565C" w:rsidP="00EA16D7">
            <w:pPr>
              <w:pStyle w:val="TableText"/>
              <w:rPr>
                <w:rFonts w:eastAsia="Arial Unicode MS"/>
              </w:rPr>
            </w:pPr>
            <w:r w:rsidRPr="003F5586">
              <w:t>Intervention services</w:t>
            </w:r>
          </w:p>
        </w:tc>
        <w:tc>
          <w:tcPr>
            <w:tcW w:w="1531" w:type="dxa"/>
            <w:tcBorders>
              <w:top w:val="single" w:sz="4" w:space="0" w:color="999999"/>
              <w:left w:val="single" w:sz="4" w:space="0" w:color="auto"/>
              <w:bottom w:val="single" w:sz="4" w:space="0" w:color="999999"/>
              <w:right w:val="single" w:sz="4" w:space="0" w:color="auto"/>
            </w:tcBorders>
            <w:noWrap/>
            <w:vAlign w:val="center"/>
            <w:hideMark/>
          </w:tcPr>
          <w:p w:rsidR="0031565C" w:rsidRPr="003F5586" w:rsidRDefault="0031565C" w:rsidP="00EA16D7">
            <w:pPr>
              <w:pStyle w:val="TableText"/>
              <w:jc w:val="center"/>
              <w:rPr>
                <w:rFonts w:eastAsia="Arial Unicode MS"/>
              </w:rPr>
            </w:pPr>
            <w:r>
              <w:rPr>
                <w:rFonts w:eastAsia="Arial Unicode MS"/>
              </w:rPr>
              <w:t>8.</w:t>
            </w:r>
            <w:r w:rsidR="00EA16D7">
              <w:rPr>
                <w:rFonts w:eastAsia="Arial Unicode MS"/>
              </w:rPr>
              <w:t>461</w:t>
            </w:r>
          </w:p>
        </w:tc>
        <w:tc>
          <w:tcPr>
            <w:tcW w:w="1531" w:type="dxa"/>
            <w:tcBorders>
              <w:top w:val="single" w:sz="4" w:space="0" w:color="999999"/>
              <w:left w:val="single" w:sz="4" w:space="0" w:color="auto"/>
              <w:bottom w:val="single" w:sz="4" w:space="0" w:color="999999"/>
              <w:right w:val="single" w:sz="4" w:space="0" w:color="auto"/>
            </w:tcBorders>
            <w:noWrap/>
            <w:vAlign w:val="center"/>
            <w:hideMark/>
          </w:tcPr>
          <w:p w:rsidR="0031565C" w:rsidRPr="003F5586" w:rsidRDefault="0031565C" w:rsidP="00EA16D7">
            <w:pPr>
              <w:pStyle w:val="TableText"/>
              <w:jc w:val="center"/>
              <w:rPr>
                <w:rFonts w:eastAsia="Arial Unicode MS"/>
              </w:rPr>
            </w:pPr>
            <w:r>
              <w:rPr>
                <w:rFonts w:eastAsia="Arial Unicode MS"/>
              </w:rPr>
              <w:t>8.</w:t>
            </w:r>
            <w:r w:rsidR="00EA16D7">
              <w:rPr>
                <w:rFonts w:eastAsia="Arial Unicode MS"/>
              </w:rPr>
              <w:t>461</w:t>
            </w:r>
          </w:p>
        </w:tc>
        <w:tc>
          <w:tcPr>
            <w:tcW w:w="1531" w:type="dxa"/>
            <w:tcBorders>
              <w:top w:val="single" w:sz="4" w:space="0" w:color="999999"/>
              <w:left w:val="single" w:sz="4" w:space="0" w:color="auto"/>
              <w:bottom w:val="single" w:sz="4" w:space="0" w:color="999999"/>
              <w:right w:val="nil"/>
            </w:tcBorders>
            <w:noWrap/>
            <w:vAlign w:val="center"/>
            <w:hideMark/>
          </w:tcPr>
          <w:p w:rsidR="0031565C" w:rsidRPr="003F5586" w:rsidRDefault="0031565C" w:rsidP="00EA16D7">
            <w:pPr>
              <w:pStyle w:val="TableText"/>
              <w:jc w:val="center"/>
              <w:rPr>
                <w:rFonts w:eastAsia="Arial Unicode MS"/>
              </w:rPr>
            </w:pPr>
            <w:r>
              <w:rPr>
                <w:rFonts w:eastAsia="Arial Unicode MS"/>
              </w:rPr>
              <w:t>8.4</w:t>
            </w:r>
            <w:r w:rsidR="00EA16D7">
              <w:rPr>
                <w:rFonts w:eastAsia="Arial Unicode MS"/>
              </w:rPr>
              <w:t>61</w:t>
            </w:r>
          </w:p>
        </w:tc>
        <w:tc>
          <w:tcPr>
            <w:tcW w:w="1531" w:type="dxa"/>
            <w:tcBorders>
              <w:top w:val="single" w:sz="4" w:space="0" w:color="999999"/>
              <w:left w:val="single" w:sz="4" w:space="0" w:color="auto"/>
              <w:bottom w:val="single" w:sz="4" w:space="0" w:color="999999"/>
              <w:right w:val="nil"/>
            </w:tcBorders>
            <w:vAlign w:val="center"/>
          </w:tcPr>
          <w:p w:rsidR="0031565C" w:rsidRPr="003F5586" w:rsidRDefault="0031565C" w:rsidP="00EA16D7">
            <w:pPr>
              <w:pStyle w:val="TableText"/>
              <w:jc w:val="center"/>
              <w:rPr>
                <w:rFonts w:eastAsia="Arial Unicode MS"/>
              </w:rPr>
            </w:pPr>
            <w:r>
              <w:rPr>
                <w:rFonts w:eastAsia="Arial Unicode MS"/>
              </w:rPr>
              <w:t>25.3</w:t>
            </w:r>
            <w:r w:rsidR="00EA16D7">
              <w:rPr>
                <w:rFonts w:eastAsia="Arial Unicode MS"/>
              </w:rPr>
              <w:t>83</w:t>
            </w:r>
          </w:p>
        </w:tc>
      </w:tr>
      <w:tr w:rsidR="0031565C" w:rsidRPr="003F5586" w:rsidTr="00EA16D7">
        <w:trPr>
          <w:cantSplit/>
        </w:trPr>
        <w:tc>
          <w:tcPr>
            <w:tcW w:w="2438" w:type="dxa"/>
            <w:tcBorders>
              <w:top w:val="single" w:sz="4" w:space="0" w:color="999999"/>
              <w:left w:val="nil"/>
              <w:bottom w:val="single" w:sz="4" w:space="0" w:color="999999"/>
              <w:right w:val="single" w:sz="4" w:space="0" w:color="auto"/>
            </w:tcBorders>
            <w:noWrap/>
            <w:hideMark/>
          </w:tcPr>
          <w:p w:rsidR="0031565C" w:rsidRPr="003F5586" w:rsidRDefault="0031565C" w:rsidP="00EA16D7">
            <w:pPr>
              <w:pStyle w:val="TableText"/>
              <w:rPr>
                <w:rFonts w:eastAsia="Arial Unicode MS"/>
              </w:rPr>
            </w:pPr>
            <w:r w:rsidRPr="003F5586">
              <w:t xml:space="preserve">Research </w:t>
            </w:r>
            <w:r>
              <w:t>and evaluation</w:t>
            </w:r>
          </w:p>
        </w:tc>
        <w:tc>
          <w:tcPr>
            <w:tcW w:w="1531" w:type="dxa"/>
            <w:tcBorders>
              <w:top w:val="single" w:sz="4" w:space="0" w:color="999999"/>
              <w:left w:val="single" w:sz="4" w:space="0" w:color="auto"/>
              <w:bottom w:val="single" w:sz="4" w:space="0" w:color="999999"/>
              <w:right w:val="single" w:sz="4" w:space="0" w:color="auto"/>
            </w:tcBorders>
            <w:noWrap/>
            <w:vAlign w:val="center"/>
            <w:hideMark/>
          </w:tcPr>
          <w:p w:rsidR="0031565C" w:rsidRPr="003F5586" w:rsidRDefault="0031565C" w:rsidP="00EA16D7">
            <w:pPr>
              <w:pStyle w:val="TableText"/>
              <w:jc w:val="center"/>
              <w:rPr>
                <w:rFonts w:eastAsia="Arial Unicode MS"/>
              </w:rPr>
            </w:pPr>
            <w:r>
              <w:rPr>
                <w:rFonts w:eastAsia="Arial Unicode MS"/>
              </w:rPr>
              <w:t>2.</w:t>
            </w:r>
            <w:r w:rsidR="00EA16D7">
              <w:rPr>
                <w:rFonts w:eastAsia="Arial Unicode MS"/>
              </w:rPr>
              <w:t>209</w:t>
            </w:r>
          </w:p>
        </w:tc>
        <w:tc>
          <w:tcPr>
            <w:tcW w:w="1531" w:type="dxa"/>
            <w:tcBorders>
              <w:top w:val="single" w:sz="4" w:space="0" w:color="999999"/>
              <w:left w:val="single" w:sz="4" w:space="0" w:color="auto"/>
              <w:bottom w:val="single" w:sz="4" w:space="0" w:color="999999"/>
              <w:right w:val="single" w:sz="4" w:space="0" w:color="auto"/>
            </w:tcBorders>
            <w:noWrap/>
            <w:vAlign w:val="center"/>
            <w:hideMark/>
          </w:tcPr>
          <w:p w:rsidR="0031565C" w:rsidRPr="003F5586" w:rsidRDefault="0031565C" w:rsidP="00EA16D7">
            <w:pPr>
              <w:pStyle w:val="TableText"/>
              <w:jc w:val="center"/>
              <w:rPr>
                <w:rFonts w:eastAsia="Arial Unicode MS"/>
              </w:rPr>
            </w:pPr>
            <w:r>
              <w:rPr>
                <w:rFonts w:eastAsia="Arial Unicode MS"/>
              </w:rPr>
              <w:t>2.</w:t>
            </w:r>
            <w:r w:rsidR="00EA16D7">
              <w:rPr>
                <w:rFonts w:eastAsia="Arial Unicode MS"/>
              </w:rPr>
              <w:t>210</w:t>
            </w:r>
          </w:p>
        </w:tc>
        <w:tc>
          <w:tcPr>
            <w:tcW w:w="1531" w:type="dxa"/>
            <w:tcBorders>
              <w:top w:val="single" w:sz="4" w:space="0" w:color="999999"/>
              <w:left w:val="single" w:sz="4" w:space="0" w:color="auto"/>
              <w:bottom w:val="single" w:sz="4" w:space="0" w:color="999999"/>
              <w:right w:val="nil"/>
            </w:tcBorders>
            <w:noWrap/>
            <w:vAlign w:val="center"/>
            <w:hideMark/>
          </w:tcPr>
          <w:p w:rsidR="0031565C" w:rsidRPr="003F5586" w:rsidRDefault="00EA16D7" w:rsidP="00EA16D7">
            <w:pPr>
              <w:pStyle w:val="TableText"/>
              <w:jc w:val="center"/>
              <w:rPr>
                <w:rFonts w:eastAsia="Arial Unicode MS"/>
              </w:rPr>
            </w:pPr>
            <w:r>
              <w:rPr>
                <w:rFonts w:eastAsia="Arial Unicode MS"/>
              </w:rPr>
              <w:t>2.210</w:t>
            </w:r>
          </w:p>
        </w:tc>
        <w:tc>
          <w:tcPr>
            <w:tcW w:w="1531" w:type="dxa"/>
            <w:tcBorders>
              <w:top w:val="single" w:sz="4" w:space="0" w:color="999999"/>
              <w:left w:val="single" w:sz="4" w:space="0" w:color="auto"/>
              <w:bottom w:val="single" w:sz="4" w:space="0" w:color="999999"/>
              <w:right w:val="nil"/>
            </w:tcBorders>
            <w:vAlign w:val="center"/>
          </w:tcPr>
          <w:p w:rsidR="0031565C" w:rsidRPr="003F5586" w:rsidRDefault="0031565C" w:rsidP="00EA16D7">
            <w:pPr>
              <w:pStyle w:val="TableText"/>
              <w:jc w:val="center"/>
              <w:rPr>
                <w:rFonts w:eastAsia="Arial Unicode MS"/>
              </w:rPr>
            </w:pPr>
            <w:r>
              <w:rPr>
                <w:rFonts w:eastAsia="Arial Unicode MS"/>
              </w:rPr>
              <w:t>6.6</w:t>
            </w:r>
            <w:r w:rsidR="00EA16D7">
              <w:rPr>
                <w:rFonts w:eastAsia="Arial Unicode MS"/>
              </w:rPr>
              <w:t>29</w:t>
            </w:r>
          </w:p>
        </w:tc>
      </w:tr>
      <w:tr w:rsidR="0031565C" w:rsidRPr="003F5586" w:rsidTr="00EA16D7">
        <w:trPr>
          <w:cantSplit/>
        </w:trPr>
        <w:tc>
          <w:tcPr>
            <w:tcW w:w="2438" w:type="dxa"/>
            <w:tcBorders>
              <w:top w:val="single" w:sz="4" w:space="0" w:color="999999"/>
              <w:left w:val="nil"/>
              <w:bottom w:val="single" w:sz="4" w:space="0" w:color="auto"/>
              <w:right w:val="single" w:sz="4" w:space="0" w:color="auto"/>
            </w:tcBorders>
            <w:noWrap/>
            <w:hideMark/>
          </w:tcPr>
          <w:p w:rsidR="0031565C" w:rsidRPr="003F5586" w:rsidRDefault="0031565C" w:rsidP="00EA16D7">
            <w:pPr>
              <w:pStyle w:val="TableText"/>
              <w:rPr>
                <w:rFonts w:eastAsia="Arial Unicode MS"/>
              </w:rPr>
            </w:pPr>
            <w:r>
              <w:t xml:space="preserve">Ministry </w:t>
            </w:r>
            <w:r w:rsidRPr="003F5586">
              <w:t>operating costs</w:t>
            </w:r>
          </w:p>
        </w:tc>
        <w:tc>
          <w:tcPr>
            <w:tcW w:w="1531" w:type="dxa"/>
            <w:tcBorders>
              <w:top w:val="single" w:sz="4" w:space="0" w:color="999999"/>
              <w:left w:val="single" w:sz="4" w:space="0" w:color="auto"/>
              <w:bottom w:val="single" w:sz="4" w:space="0" w:color="auto"/>
              <w:right w:val="single" w:sz="4" w:space="0" w:color="auto"/>
            </w:tcBorders>
            <w:noWrap/>
            <w:vAlign w:val="center"/>
            <w:hideMark/>
          </w:tcPr>
          <w:p w:rsidR="0031565C" w:rsidRPr="003F5586" w:rsidRDefault="0031565C" w:rsidP="00EA16D7">
            <w:pPr>
              <w:pStyle w:val="TableText"/>
              <w:jc w:val="center"/>
              <w:rPr>
                <w:rFonts w:eastAsia="Arial Unicode MS"/>
              </w:rPr>
            </w:pPr>
            <w:r>
              <w:rPr>
                <w:rFonts w:eastAsia="Arial Unicode MS"/>
              </w:rPr>
              <w:t>0.957</w:t>
            </w:r>
          </w:p>
        </w:tc>
        <w:tc>
          <w:tcPr>
            <w:tcW w:w="1531" w:type="dxa"/>
            <w:tcBorders>
              <w:top w:val="single" w:sz="4" w:space="0" w:color="999999"/>
              <w:left w:val="single" w:sz="4" w:space="0" w:color="auto"/>
              <w:bottom w:val="single" w:sz="4" w:space="0" w:color="auto"/>
              <w:right w:val="single" w:sz="4" w:space="0" w:color="auto"/>
            </w:tcBorders>
            <w:noWrap/>
            <w:vAlign w:val="center"/>
            <w:hideMark/>
          </w:tcPr>
          <w:p w:rsidR="0031565C" w:rsidRPr="003F5586" w:rsidRDefault="00EA16D7" w:rsidP="00EA16D7">
            <w:pPr>
              <w:pStyle w:val="TableText"/>
              <w:jc w:val="center"/>
              <w:rPr>
                <w:rFonts w:eastAsia="Arial Unicode MS"/>
              </w:rPr>
            </w:pPr>
            <w:r>
              <w:rPr>
                <w:rFonts w:eastAsia="Arial Unicode MS"/>
              </w:rPr>
              <w:t>0.990</w:t>
            </w:r>
          </w:p>
        </w:tc>
        <w:tc>
          <w:tcPr>
            <w:tcW w:w="1531" w:type="dxa"/>
            <w:tcBorders>
              <w:top w:val="single" w:sz="4" w:space="0" w:color="999999"/>
              <w:left w:val="single" w:sz="4" w:space="0" w:color="auto"/>
              <w:bottom w:val="single" w:sz="4" w:space="0" w:color="auto"/>
              <w:right w:val="nil"/>
            </w:tcBorders>
            <w:noWrap/>
            <w:vAlign w:val="center"/>
            <w:hideMark/>
          </w:tcPr>
          <w:p w:rsidR="0031565C" w:rsidRPr="003F5586" w:rsidRDefault="00EA16D7" w:rsidP="00EA16D7">
            <w:pPr>
              <w:pStyle w:val="TableText"/>
              <w:jc w:val="center"/>
              <w:rPr>
                <w:rFonts w:eastAsia="Arial Unicode MS"/>
              </w:rPr>
            </w:pPr>
            <w:r>
              <w:rPr>
                <w:rFonts w:eastAsia="Arial Unicode MS"/>
              </w:rPr>
              <w:t>0.990</w:t>
            </w:r>
          </w:p>
        </w:tc>
        <w:tc>
          <w:tcPr>
            <w:tcW w:w="1531" w:type="dxa"/>
            <w:tcBorders>
              <w:top w:val="single" w:sz="4" w:space="0" w:color="999999"/>
              <w:left w:val="single" w:sz="4" w:space="0" w:color="auto"/>
              <w:bottom w:val="single" w:sz="4" w:space="0" w:color="auto"/>
              <w:right w:val="nil"/>
            </w:tcBorders>
            <w:vAlign w:val="center"/>
          </w:tcPr>
          <w:p w:rsidR="0031565C" w:rsidRPr="003F5586" w:rsidRDefault="0031565C" w:rsidP="00EA16D7">
            <w:pPr>
              <w:pStyle w:val="TableText"/>
              <w:jc w:val="center"/>
              <w:rPr>
                <w:rFonts w:eastAsia="Arial Unicode MS"/>
              </w:rPr>
            </w:pPr>
            <w:r>
              <w:rPr>
                <w:rFonts w:eastAsia="Arial Unicode MS"/>
              </w:rPr>
              <w:t>2.937</w:t>
            </w:r>
          </w:p>
        </w:tc>
      </w:tr>
      <w:tr w:rsidR="0031565C" w:rsidRPr="003F5586" w:rsidTr="00EA16D7">
        <w:trPr>
          <w:cantSplit/>
        </w:trPr>
        <w:tc>
          <w:tcPr>
            <w:tcW w:w="2438" w:type="dxa"/>
            <w:tcBorders>
              <w:top w:val="single" w:sz="4" w:space="0" w:color="auto"/>
              <w:left w:val="nil"/>
              <w:bottom w:val="single" w:sz="12" w:space="0" w:color="auto"/>
              <w:right w:val="single" w:sz="4" w:space="0" w:color="auto"/>
            </w:tcBorders>
            <w:noWrap/>
            <w:hideMark/>
          </w:tcPr>
          <w:p w:rsidR="0031565C" w:rsidRPr="003F5586" w:rsidRDefault="0031565C" w:rsidP="00EA16D7">
            <w:pPr>
              <w:pStyle w:val="TableText"/>
              <w:rPr>
                <w:rFonts w:eastAsia="Arial Unicode MS"/>
                <w:b/>
              </w:rPr>
            </w:pPr>
            <w:r w:rsidRPr="003F5586">
              <w:rPr>
                <w:b/>
              </w:rPr>
              <w:t>Total</w:t>
            </w:r>
            <w:r>
              <w:rPr>
                <w:b/>
              </w:rPr>
              <w:t xml:space="preserve"> ($</w:t>
            </w:r>
            <w:r w:rsidR="00EA16D7">
              <w:rPr>
                <w:b/>
              </w:rPr>
              <w:t>m</w:t>
            </w:r>
            <w:r>
              <w:rPr>
                <w:b/>
              </w:rPr>
              <w:t>)</w:t>
            </w:r>
          </w:p>
        </w:tc>
        <w:tc>
          <w:tcPr>
            <w:tcW w:w="1531" w:type="dxa"/>
            <w:tcBorders>
              <w:top w:val="single" w:sz="4" w:space="0" w:color="auto"/>
              <w:left w:val="single" w:sz="4" w:space="0" w:color="auto"/>
              <w:bottom w:val="single" w:sz="12" w:space="0" w:color="auto"/>
              <w:right w:val="single" w:sz="4" w:space="0" w:color="auto"/>
            </w:tcBorders>
            <w:noWrap/>
            <w:vAlign w:val="center"/>
            <w:hideMark/>
          </w:tcPr>
          <w:p w:rsidR="0031565C" w:rsidRPr="003F5586" w:rsidRDefault="0031565C" w:rsidP="00EA16D7">
            <w:pPr>
              <w:pStyle w:val="TableText"/>
              <w:jc w:val="center"/>
              <w:rPr>
                <w:rFonts w:eastAsia="Arial Unicode MS"/>
                <w:b/>
              </w:rPr>
            </w:pPr>
            <w:r>
              <w:rPr>
                <w:rFonts w:eastAsia="Arial Unicode MS"/>
                <w:b/>
              </w:rPr>
              <w:t>18.</w:t>
            </w:r>
            <w:r w:rsidR="00EA16D7">
              <w:rPr>
                <w:rFonts w:eastAsia="Arial Unicode MS"/>
                <w:b/>
              </w:rPr>
              <w:t>397</w:t>
            </w:r>
          </w:p>
        </w:tc>
        <w:tc>
          <w:tcPr>
            <w:tcW w:w="1531" w:type="dxa"/>
            <w:tcBorders>
              <w:top w:val="single" w:sz="4" w:space="0" w:color="auto"/>
              <w:left w:val="single" w:sz="4" w:space="0" w:color="auto"/>
              <w:bottom w:val="single" w:sz="12" w:space="0" w:color="auto"/>
              <w:right w:val="single" w:sz="4" w:space="0" w:color="auto"/>
            </w:tcBorders>
            <w:noWrap/>
            <w:vAlign w:val="center"/>
            <w:hideMark/>
          </w:tcPr>
          <w:p w:rsidR="0031565C" w:rsidRPr="003F5586" w:rsidRDefault="0031565C" w:rsidP="00EA16D7">
            <w:pPr>
              <w:pStyle w:val="TableText"/>
              <w:jc w:val="center"/>
              <w:rPr>
                <w:rFonts w:eastAsia="Arial Unicode MS"/>
                <w:b/>
              </w:rPr>
            </w:pPr>
            <w:r>
              <w:rPr>
                <w:rFonts w:eastAsia="Arial Unicode MS"/>
                <w:b/>
              </w:rPr>
              <w:t>18.51</w:t>
            </w:r>
            <w:r w:rsidR="00EA16D7">
              <w:rPr>
                <w:rFonts w:eastAsia="Arial Unicode MS"/>
                <w:b/>
              </w:rPr>
              <w:t>1</w:t>
            </w:r>
          </w:p>
        </w:tc>
        <w:tc>
          <w:tcPr>
            <w:tcW w:w="1531" w:type="dxa"/>
            <w:tcBorders>
              <w:top w:val="single" w:sz="4" w:space="0" w:color="auto"/>
              <w:left w:val="single" w:sz="4" w:space="0" w:color="auto"/>
              <w:bottom w:val="single" w:sz="12" w:space="0" w:color="auto"/>
              <w:right w:val="nil"/>
            </w:tcBorders>
            <w:noWrap/>
            <w:vAlign w:val="center"/>
            <w:hideMark/>
          </w:tcPr>
          <w:p w:rsidR="0031565C" w:rsidRPr="003F5586" w:rsidRDefault="0031565C" w:rsidP="00EA16D7">
            <w:pPr>
              <w:pStyle w:val="TableText"/>
              <w:jc w:val="center"/>
              <w:rPr>
                <w:rFonts w:eastAsia="Arial Unicode MS"/>
                <w:b/>
              </w:rPr>
            </w:pPr>
            <w:r>
              <w:rPr>
                <w:rFonts w:eastAsia="Arial Unicode MS"/>
                <w:b/>
              </w:rPr>
              <w:t>18.</w:t>
            </w:r>
            <w:r w:rsidR="00EA16D7">
              <w:rPr>
                <w:rFonts w:eastAsia="Arial Unicode MS"/>
                <w:b/>
              </w:rPr>
              <w:t>4</w:t>
            </w:r>
            <w:r>
              <w:rPr>
                <w:rFonts w:eastAsia="Arial Unicode MS"/>
                <w:b/>
              </w:rPr>
              <w:t>31</w:t>
            </w:r>
          </w:p>
        </w:tc>
        <w:tc>
          <w:tcPr>
            <w:tcW w:w="1531" w:type="dxa"/>
            <w:tcBorders>
              <w:top w:val="single" w:sz="4" w:space="0" w:color="auto"/>
              <w:left w:val="single" w:sz="4" w:space="0" w:color="auto"/>
              <w:bottom w:val="single" w:sz="12" w:space="0" w:color="auto"/>
              <w:right w:val="nil"/>
            </w:tcBorders>
            <w:vAlign w:val="center"/>
          </w:tcPr>
          <w:p w:rsidR="0031565C" w:rsidRPr="003F5586" w:rsidRDefault="0031565C" w:rsidP="00EA16D7">
            <w:pPr>
              <w:pStyle w:val="TableText"/>
              <w:jc w:val="center"/>
              <w:rPr>
                <w:rFonts w:eastAsia="Arial Unicode MS"/>
                <w:b/>
              </w:rPr>
            </w:pPr>
            <w:r>
              <w:rPr>
                <w:rFonts w:eastAsia="Arial Unicode MS"/>
                <w:b/>
              </w:rPr>
              <w:t>55.339</w:t>
            </w:r>
          </w:p>
        </w:tc>
      </w:tr>
    </w:tbl>
    <w:p w:rsidR="0031565C" w:rsidRPr="00772A70" w:rsidRDefault="0031565C" w:rsidP="0031565C">
      <w:pPr>
        <w:spacing w:after="120"/>
        <w:rPr>
          <w:sz w:val="22"/>
          <w:szCs w:val="22"/>
        </w:rPr>
      </w:pPr>
    </w:p>
    <w:p w:rsidR="00B97B93" w:rsidRDefault="00B97B93" w:rsidP="00EA16D7">
      <w:pPr>
        <w:numPr>
          <w:ilvl w:val="0"/>
          <w:numId w:val="41"/>
        </w:numPr>
        <w:ind w:left="567" w:hanging="567"/>
        <w:rPr>
          <w:sz w:val="22"/>
          <w:szCs w:val="22"/>
        </w:rPr>
      </w:pPr>
      <w:r>
        <w:rPr>
          <w:sz w:val="22"/>
          <w:szCs w:val="22"/>
        </w:rPr>
        <w:t>T</w:t>
      </w:r>
      <w:r w:rsidR="00FF7D71">
        <w:rPr>
          <w:sz w:val="22"/>
          <w:szCs w:val="22"/>
        </w:rPr>
        <w:t>his amount ($55.339</w:t>
      </w:r>
      <w:r w:rsidR="00EA16D7">
        <w:rPr>
          <w:sz w:val="22"/>
          <w:szCs w:val="22"/>
        </w:rPr>
        <w:t> </w:t>
      </w:r>
      <w:r>
        <w:rPr>
          <w:sz w:val="22"/>
          <w:szCs w:val="22"/>
        </w:rPr>
        <w:t xml:space="preserve">million) is </w:t>
      </w:r>
      <w:r w:rsidR="00EA16D7">
        <w:rPr>
          <w:sz w:val="22"/>
          <w:szCs w:val="22"/>
        </w:rPr>
        <w:t>the same as</w:t>
      </w:r>
      <w:r>
        <w:rPr>
          <w:sz w:val="22"/>
          <w:szCs w:val="22"/>
        </w:rPr>
        <w:t xml:space="preserve"> the appropriatio</w:t>
      </w:r>
      <w:r w:rsidR="00EA16D7">
        <w:rPr>
          <w:sz w:val="22"/>
          <w:szCs w:val="22"/>
        </w:rPr>
        <w:t>n approved for the current (2013/14 to 2015</w:t>
      </w:r>
      <w:r>
        <w:rPr>
          <w:sz w:val="22"/>
          <w:szCs w:val="22"/>
        </w:rPr>
        <w:t>/1</w:t>
      </w:r>
      <w:r w:rsidR="00EA16D7">
        <w:rPr>
          <w:sz w:val="22"/>
          <w:szCs w:val="22"/>
        </w:rPr>
        <w:t>6) period</w:t>
      </w:r>
      <w:r w:rsidR="00CB2E54">
        <w:rPr>
          <w:sz w:val="22"/>
          <w:szCs w:val="22"/>
        </w:rPr>
        <w:t xml:space="preserve"> (refer to Table 1)</w:t>
      </w:r>
      <w:r w:rsidR="00E108C6">
        <w:rPr>
          <w:sz w:val="22"/>
          <w:szCs w:val="22"/>
        </w:rPr>
        <w:t xml:space="preserve">. </w:t>
      </w:r>
    </w:p>
    <w:p w:rsidR="00B97B93" w:rsidRDefault="00B97B93" w:rsidP="00B97B93">
      <w:pPr>
        <w:rPr>
          <w:sz w:val="22"/>
          <w:szCs w:val="22"/>
        </w:rPr>
      </w:pPr>
    </w:p>
    <w:p w:rsidR="00615343" w:rsidRDefault="00CB2E54" w:rsidP="00CB2E54">
      <w:pPr>
        <w:numPr>
          <w:ilvl w:val="0"/>
          <w:numId w:val="41"/>
        </w:numPr>
        <w:ind w:left="567" w:hanging="567"/>
        <w:rPr>
          <w:sz w:val="22"/>
          <w:szCs w:val="22"/>
        </w:rPr>
      </w:pPr>
      <w:r>
        <w:rPr>
          <w:sz w:val="22"/>
          <w:szCs w:val="22"/>
        </w:rPr>
        <w:t>S</w:t>
      </w:r>
      <w:r w:rsidR="005B0890">
        <w:rPr>
          <w:sz w:val="22"/>
          <w:szCs w:val="22"/>
        </w:rPr>
        <w:t xml:space="preserve">ome relatively minor re-allocations and re-phasings of </w:t>
      </w:r>
      <w:r>
        <w:rPr>
          <w:sz w:val="22"/>
          <w:szCs w:val="22"/>
        </w:rPr>
        <w:t>budget</w:t>
      </w:r>
      <w:r w:rsidR="005B0890">
        <w:rPr>
          <w:sz w:val="22"/>
          <w:szCs w:val="22"/>
        </w:rPr>
        <w:t xml:space="preserve"> are proposed for 2016/17 to 2018/19</w:t>
      </w:r>
      <w:r w:rsidR="00E95B14">
        <w:rPr>
          <w:sz w:val="22"/>
          <w:szCs w:val="22"/>
        </w:rPr>
        <w:t>.</w:t>
      </w:r>
      <w:r w:rsidR="00615343">
        <w:rPr>
          <w:sz w:val="22"/>
          <w:szCs w:val="22"/>
        </w:rPr>
        <w:t xml:space="preserve"> </w:t>
      </w:r>
      <w:r w:rsidR="005B0890">
        <w:rPr>
          <w:sz w:val="22"/>
          <w:szCs w:val="22"/>
        </w:rPr>
        <w:t xml:space="preserve"> The Ministry also proposes to develop and</w:t>
      </w:r>
      <w:r w:rsidR="000B39E4">
        <w:rPr>
          <w:sz w:val="22"/>
          <w:szCs w:val="22"/>
        </w:rPr>
        <w:t xml:space="preserve"> pilot one or more initiatives t</w:t>
      </w:r>
      <w:r w:rsidR="005B0890">
        <w:rPr>
          <w:sz w:val="22"/>
          <w:szCs w:val="22"/>
        </w:rPr>
        <w:t>o reduce gambling-harm-related inequities, but it proposes to do so with</w:t>
      </w:r>
      <w:r w:rsidR="003A5BB9">
        <w:rPr>
          <w:sz w:val="22"/>
          <w:szCs w:val="22"/>
        </w:rPr>
        <w:t>in</w:t>
      </w:r>
      <w:r w:rsidR="005B0890">
        <w:rPr>
          <w:sz w:val="22"/>
          <w:szCs w:val="22"/>
        </w:rPr>
        <w:t xml:space="preserve"> the same budget as in the current period.</w:t>
      </w:r>
    </w:p>
    <w:p w:rsidR="00615343" w:rsidRDefault="00615343" w:rsidP="00E95B14">
      <w:pPr>
        <w:rPr>
          <w:sz w:val="22"/>
          <w:szCs w:val="22"/>
        </w:rPr>
      </w:pPr>
    </w:p>
    <w:p w:rsidR="0085343D" w:rsidRDefault="00D14E11" w:rsidP="00CB2E54">
      <w:pPr>
        <w:numPr>
          <w:ilvl w:val="0"/>
          <w:numId w:val="41"/>
        </w:numPr>
        <w:ind w:left="567" w:hanging="567"/>
        <w:rPr>
          <w:sz w:val="22"/>
          <w:szCs w:val="22"/>
        </w:rPr>
      </w:pPr>
      <w:r>
        <w:rPr>
          <w:sz w:val="22"/>
          <w:szCs w:val="22"/>
        </w:rPr>
        <w:t>Assuming that the Ministry’s app</w:t>
      </w:r>
      <w:r w:rsidR="004F5009">
        <w:rPr>
          <w:sz w:val="22"/>
          <w:szCs w:val="22"/>
        </w:rPr>
        <w:t>ropriation is set at $55.339 million</w:t>
      </w:r>
      <w:r>
        <w:rPr>
          <w:sz w:val="22"/>
          <w:szCs w:val="22"/>
        </w:rPr>
        <w:t xml:space="preserve">, </w:t>
      </w:r>
      <w:r w:rsidR="00B97B93">
        <w:rPr>
          <w:sz w:val="22"/>
          <w:szCs w:val="22"/>
        </w:rPr>
        <w:t xml:space="preserve">the total </w:t>
      </w:r>
      <w:r w:rsidR="005B0890">
        <w:rPr>
          <w:sz w:val="22"/>
          <w:szCs w:val="22"/>
        </w:rPr>
        <w:t>levy requirement for 2016/17</w:t>
      </w:r>
      <w:r w:rsidR="00B97B93">
        <w:rPr>
          <w:sz w:val="22"/>
          <w:szCs w:val="22"/>
        </w:rPr>
        <w:t xml:space="preserve"> to 201</w:t>
      </w:r>
      <w:r w:rsidR="005B0890">
        <w:rPr>
          <w:sz w:val="22"/>
          <w:szCs w:val="22"/>
        </w:rPr>
        <w:t>8/19 would be</w:t>
      </w:r>
      <w:r w:rsidR="004F5009">
        <w:rPr>
          <w:sz w:val="22"/>
          <w:szCs w:val="22"/>
        </w:rPr>
        <w:t xml:space="preserve"> $</w:t>
      </w:r>
      <w:r w:rsidR="005B0890">
        <w:rPr>
          <w:sz w:val="22"/>
          <w:szCs w:val="22"/>
        </w:rPr>
        <w:t>56.202 </w:t>
      </w:r>
      <w:r w:rsidR="004F5009">
        <w:rPr>
          <w:sz w:val="22"/>
          <w:szCs w:val="22"/>
        </w:rPr>
        <w:t xml:space="preserve">million </w:t>
      </w:r>
      <w:r w:rsidR="005B0890">
        <w:rPr>
          <w:sz w:val="22"/>
          <w:szCs w:val="22"/>
        </w:rPr>
        <w:t>(taking into account a net under-recovery of levy in the previous levy periods</w:t>
      </w:r>
      <w:r w:rsidR="0085343D">
        <w:rPr>
          <w:sz w:val="22"/>
          <w:szCs w:val="22"/>
        </w:rPr>
        <w:t>).</w:t>
      </w:r>
    </w:p>
    <w:p w:rsidR="000C7147" w:rsidRPr="00D14E11" w:rsidRDefault="000C7147" w:rsidP="000C7147">
      <w:pPr>
        <w:rPr>
          <w:rFonts w:eastAsia="Arial Unicode MS"/>
          <w:sz w:val="22"/>
          <w:szCs w:val="22"/>
        </w:rPr>
      </w:pPr>
    </w:p>
    <w:p w:rsidR="00194C32" w:rsidRPr="00B77D78" w:rsidRDefault="00CB2E54" w:rsidP="00194C32">
      <w:pPr>
        <w:pStyle w:val="Heading2"/>
      </w:pPr>
      <w:bookmarkStart w:id="57" w:name="_Toc440029231"/>
      <w:bookmarkStart w:id="58" w:name="_Toc259613878"/>
      <w:r>
        <w:t>The levy-paying gambling sectors</w:t>
      </w:r>
      <w:bookmarkEnd w:id="57"/>
    </w:p>
    <w:p w:rsidR="007717AA" w:rsidRPr="008363A3" w:rsidRDefault="00CB2E54" w:rsidP="008F3EDD">
      <w:pPr>
        <w:numPr>
          <w:ilvl w:val="0"/>
          <w:numId w:val="41"/>
        </w:numPr>
        <w:ind w:left="567" w:hanging="567"/>
        <w:rPr>
          <w:sz w:val="22"/>
          <w:szCs w:val="22"/>
        </w:rPr>
      </w:pPr>
      <w:r>
        <w:rPr>
          <w:sz w:val="22"/>
          <w:szCs w:val="22"/>
        </w:rPr>
        <w:t xml:space="preserve">The </w:t>
      </w:r>
      <w:r w:rsidR="00874298">
        <w:rPr>
          <w:sz w:val="22"/>
          <w:szCs w:val="22"/>
        </w:rPr>
        <w:t>Ministry</w:t>
      </w:r>
      <w:r w:rsidR="00BA3295">
        <w:rPr>
          <w:sz w:val="22"/>
          <w:szCs w:val="22"/>
        </w:rPr>
        <w:t xml:space="preserve"> </w:t>
      </w:r>
      <w:r w:rsidR="00874298">
        <w:rPr>
          <w:sz w:val="22"/>
          <w:szCs w:val="22"/>
        </w:rPr>
        <w:t xml:space="preserve">and the Gambling Commission </w:t>
      </w:r>
      <w:r w:rsidR="00BA3295">
        <w:rPr>
          <w:sz w:val="22"/>
          <w:szCs w:val="22"/>
        </w:rPr>
        <w:t>recommend</w:t>
      </w:r>
      <w:r w:rsidR="007717AA" w:rsidRPr="008363A3">
        <w:rPr>
          <w:sz w:val="22"/>
          <w:szCs w:val="22"/>
        </w:rPr>
        <w:t xml:space="preserve"> </w:t>
      </w:r>
      <w:r w:rsidR="007717AA">
        <w:rPr>
          <w:sz w:val="22"/>
          <w:szCs w:val="22"/>
        </w:rPr>
        <w:t>no change to the four sectors required to pay the problem gambling levy</w:t>
      </w:r>
      <w:r w:rsidR="007717AA" w:rsidRPr="008363A3">
        <w:rPr>
          <w:sz w:val="22"/>
          <w:szCs w:val="22"/>
        </w:rPr>
        <w:t>:</w:t>
      </w:r>
    </w:p>
    <w:p w:rsidR="007717AA" w:rsidRPr="008363A3" w:rsidRDefault="007717AA" w:rsidP="001B60D8">
      <w:pPr>
        <w:numPr>
          <w:ilvl w:val="0"/>
          <w:numId w:val="13"/>
        </w:numPr>
        <w:spacing w:before="120"/>
        <w:ind w:left="993" w:hanging="426"/>
        <w:rPr>
          <w:sz w:val="22"/>
          <w:szCs w:val="22"/>
        </w:rPr>
      </w:pPr>
      <w:r w:rsidRPr="008363A3">
        <w:rPr>
          <w:sz w:val="22"/>
          <w:szCs w:val="22"/>
        </w:rPr>
        <w:t>non-casino gaming machine (NCGM) operators</w:t>
      </w:r>
      <w:r>
        <w:rPr>
          <w:sz w:val="22"/>
          <w:szCs w:val="22"/>
        </w:rPr>
        <w:t xml:space="preserve">, including </w:t>
      </w:r>
      <w:r w:rsidR="00D94C3A">
        <w:rPr>
          <w:sz w:val="22"/>
          <w:szCs w:val="22"/>
        </w:rPr>
        <w:t xml:space="preserve">clubs and </w:t>
      </w:r>
      <w:r>
        <w:rPr>
          <w:sz w:val="22"/>
          <w:szCs w:val="22"/>
        </w:rPr>
        <w:t>the New Zealan</w:t>
      </w:r>
      <w:r w:rsidR="00D94C3A">
        <w:rPr>
          <w:sz w:val="22"/>
          <w:szCs w:val="22"/>
        </w:rPr>
        <w:t>d Racing Board in respect of their</w:t>
      </w:r>
      <w:r>
        <w:rPr>
          <w:sz w:val="22"/>
          <w:szCs w:val="22"/>
        </w:rPr>
        <w:t xml:space="preserve"> NCGMs</w:t>
      </w:r>
    </w:p>
    <w:p w:rsidR="007717AA" w:rsidRPr="008363A3" w:rsidRDefault="007717AA" w:rsidP="001B60D8">
      <w:pPr>
        <w:numPr>
          <w:ilvl w:val="0"/>
          <w:numId w:val="13"/>
        </w:numPr>
        <w:spacing w:before="120"/>
        <w:ind w:left="993" w:hanging="426"/>
        <w:rPr>
          <w:sz w:val="22"/>
          <w:szCs w:val="22"/>
        </w:rPr>
      </w:pPr>
      <w:r w:rsidRPr="008363A3">
        <w:rPr>
          <w:sz w:val="22"/>
          <w:szCs w:val="22"/>
        </w:rPr>
        <w:t>casinos</w:t>
      </w:r>
    </w:p>
    <w:p w:rsidR="007717AA" w:rsidRPr="008363A3" w:rsidRDefault="007717AA" w:rsidP="001B60D8">
      <w:pPr>
        <w:numPr>
          <w:ilvl w:val="0"/>
          <w:numId w:val="13"/>
        </w:numPr>
        <w:spacing w:before="120"/>
        <w:ind w:left="993" w:hanging="426"/>
        <w:rPr>
          <w:sz w:val="22"/>
          <w:szCs w:val="22"/>
        </w:rPr>
      </w:pPr>
      <w:r w:rsidRPr="008363A3">
        <w:rPr>
          <w:sz w:val="22"/>
          <w:szCs w:val="22"/>
        </w:rPr>
        <w:t>the New Zealand Racing Board</w:t>
      </w:r>
      <w:r>
        <w:rPr>
          <w:sz w:val="22"/>
          <w:szCs w:val="22"/>
        </w:rPr>
        <w:t xml:space="preserve"> in respect of its racing betting and sports betting products</w:t>
      </w:r>
    </w:p>
    <w:p w:rsidR="007717AA" w:rsidRDefault="007717AA" w:rsidP="001B60D8">
      <w:pPr>
        <w:numPr>
          <w:ilvl w:val="0"/>
          <w:numId w:val="13"/>
        </w:numPr>
        <w:spacing w:before="120"/>
        <w:ind w:left="993" w:hanging="426"/>
        <w:rPr>
          <w:sz w:val="22"/>
          <w:szCs w:val="22"/>
        </w:rPr>
      </w:pPr>
      <w:r w:rsidRPr="008363A3">
        <w:rPr>
          <w:sz w:val="22"/>
          <w:szCs w:val="22"/>
        </w:rPr>
        <w:t>the New Zealand Lotteries Commission.</w:t>
      </w:r>
      <w:r>
        <w:rPr>
          <w:sz w:val="22"/>
          <w:szCs w:val="22"/>
        </w:rPr>
        <w:t xml:space="preserve"> </w:t>
      </w:r>
    </w:p>
    <w:p w:rsidR="008F3EDD" w:rsidRPr="008363A3" w:rsidRDefault="008F3EDD" w:rsidP="008F3EDD">
      <w:pPr>
        <w:rPr>
          <w:sz w:val="22"/>
          <w:szCs w:val="22"/>
        </w:rPr>
      </w:pPr>
    </w:p>
    <w:p w:rsidR="009F2D15" w:rsidRPr="00B77D78" w:rsidRDefault="008F3EDD" w:rsidP="000C7147">
      <w:pPr>
        <w:pStyle w:val="Heading2"/>
      </w:pPr>
      <w:bookmarkStart w:id="59" w:name="_Toc440029232"/>
      <w:bookmarkEnd w:id="58"/>
      <w:r>
        <w:lastRenderedPageBreak/>
        <w:t>The w</w:t>
      </w:r>
      <w:r w:rsidR="00C411A6">
        <w:t xml:space="preserve">eighting and </w:t>
      </w:r>
      <w:r>
        <w:t xml:space="preserve">the </w:t>
      </w:r>
      <w:r w:rsidR="00C411A6">
        <w:t>resulting levy rates</w:t>
      </w:r>
      <w:bookmarkEnd w:id="59"/>
    </w:p>
    <w:p w:rsidR="00DC28A0" w:rsidRPr="00721DEF" w:rsidRDefault="008F3EDD" w:rsidP="008F3EDD">
      <w:pPr>
        <w:numPr>
          <w:ilvl w:val="0"/>
          <w:numId w:val="41"/>
        </w:numPr>
        <w:ind w:left="567" w:hanging="567"/>
        <w:rPr>
          <w:sz w:val="22"/>
          <w:szCs w:val="22"/>
        </w:rPr>
      </w:pPr>
      <w:r>
        <w:rPr>
          <w:sz w:val="22"/>
          <w:szCs w:val="22"/>
        </w:rPr>
        <w:t xml:space="preserve">The </w:t>
      </w:r>
      <w:r w:rsidR="00DC28A0">
        <w:rPr>
          <w:sz w:val="22"/>
          <w:szCs w:val="22"/>
        </w:rPr>
        <w:t>Ministry</w:t>
      </w:r>
      <w:r>
        <w:rPr>
          <w:sz w:val="22"/>
          <w:szCs w:val="22"/>
        </w:rPr>
        <w:t xml:space="preserve">’s view is that any </w:t>
      </w:r>
      <w:r w:rsidR="004024FE">
        <w:rPr>
          <w:sz w:val="22"/>
          <w:szCs w:val="22"/>
        </w:rPr>
        <w:t xml:space="preserve">of the four alternative </w:t>
      </w:r>
      <w:r>
        <w:rPr>
          <w:sz w:val="22"/>
          <w:szCs w:val="22"/>
        </w:rPr>
        <w:t>weighting</w:t>
      </w:r>
      <w:r w:rsidR="004024FE">
        <w:rPr>
          <w:sz w:val="22"/>
          <w:szCs w:val="22"/>
        </w:rPr>
        <w:t>s</w:t>
      </w:r>
      <w:r>
        <w:rPr>
          <w:sz w:val="22"/>
          <w:szCs w:val="22"/>
        </w:rPr>
        <w:t xml:space="preserve"> from </w:t>
      </w:r>
      <w:r w:rsidR="00DC28A0" w:rsidRPr="00721DEF">
        <w:rPr>
          <w:sz w:val="22"/>
          <w:szCs w:val="22"/>
        </w:rPr>
        <w:t xml:space="preserve">5/95 to </w:t>
      </w:r>
      <w:r w:rsidR="00291E3A">
        <w:rPr>
          <w:sz w:val="22"/>
          <w:szCs w:val="22"/>
        </w:rPr>
        <w:t>30/70</w:t>
      </w:r>
      <w:r>
        <w:rPr>
          <w:sz w:val="22"/>
          <w:szCs w:val="22"/>
        </w:rPr>
        <w:t xml:space="preserve"> could be considered reasonable</w:t>
      </w:r>
      <w:r w:rsidR="00DC28A0" w:rsidRPr="00721DEF">
        <w:rPr>
          <w:sz w:val="22"/>
          <w:szCs w:val="22"/>
        </w:rPr>
        <w:t xml:space="preserve">. </w:t>
      </w:r>
      <w:r>
        <w:rPr>
          <w:sz w:val="22"/>
          <w:szCs w:val="22"/>
        </w:rPr>
        <w:t xml:space="preserve"> By contrast, the Gambling Commission considers that there is no justification for either the 5/95 or the 10/90 weighting.</w:t>
      </w:r>
    </w:p>
    <w:p w:rsidR="00DC28A0" w:rsidRDefault="00DC28A0" w:rsidP="00DC28A0">
      <w:pPr>
        <w:rPr>
          <w:sz w:val="22"/>
          <w:szCs w:val="22"/>
        </w:rPr>
      </w:pPr>
    </w:p>
    <w:p w:rsidR="001B4EC7" w:rsidRDefault="008F3EDD" w:rsidP="008F3EDD">
      <w:pPr>
        <w:numPr>
          <w:ilvl w:val="0"/>
          <w:numId w:val="41"/>
        </w:numPr>
        <w:ind w:left="567" w:hanging="567"/>
        <w:rPr>
          <w:sz w:val="22"/>
          <w:szCs w:val="22"/>
        </w:rPr>
      </w:pPr>
      <w:r>
        <w:rPr>
          <w:sz w:val="22"/>
          <w:szCs w:val="22"/>
        </w:rPr>
        <w:t xml:space="preserve">The </w:t>
      </w:r>
      <w:r w:rsidR="00197DA5">
        <w:rPr>
          <w:sz w:val="22"/>
          <w:szCs w:val="22"/>
        </w:rPr>
        <w:t xml:space="preserve">Ministry </w:t>
      </w:r>
      <w:r w:rsidR="00874298">
        <w:rPr>
          <w:sz w:val="22"/>
          <w:szCs w:val="22"/>
        </w:rPr>
        <w:t xml:space="preserve">and the Commission </w:t>
      </w:r>
      <w:r>
        <w:rPr>
          <w:sz w:val="22"/>
          <w:szCs w:val="22"/>
        </w:rPr>
        <w:t>both recommend the</w:t>
      </w:r>
      <w:r w:rsidR="001B4EC7">
        <w:rPr>
          <w:sz w:val="22"/>
          <w:szCs w:val="22"/>
        </w:rPr>
        <w:t xml:space="preserve"> </w:t>
      </w:r>
      <w:r>
        <w:rPr>
          <w:sz w:val="22"/>
          <w:szCs w:val="22"/>
        </w:rPr>
        <w:t>20/80 weighting</w:t>
      </w:r>
      <w:r w:rsidR="001B4EC7">
        <w:rPr>
          <w:sz w:val="22"/>
          <w:szCs w:val="22"/>
        </w:rPr>
        <w:t xml:space="preserve">, largely because </w:t>
      </w:r>
      <w:r w:rsidR="00874298">
        <w:rPr>
          <w:sz w:val="22"/>
          <w:szCs w:val="22"/>
        </w:rPr>
        <w:t>it is seen as</w:t>
      </w:r>
      <w:r w:rsidR="0085343D">
        <w:rPr>
          <w:sz w:val="22"/>
          <w:szCs w:val="22"/>
        </w:rPr>
        <w:t xml:space="preserve"> better </w:t>
      </w:r>
      <w:r w:rsidR="00D5540E">
        <w:rPr>
          <w:sz w:val="22"/>
          <w:szCs w:val="22"/>
        </w:rPr>
        <w:t xml:space="preserve">reflecting </w:t>
      </w:r>
      <w:r w:rsidR="00A123AD">
        <w:rPr>
          <w:sz w:val="22"/>
          <w:szCs w:val="22"/>
        </w:rPr>
        <w:t>all the required components of the Strategy</w:t>
      </w:r>
      <w:r w:rsidR="007A721D">
        <w:rPr>
          <w:sz w:val="22"/>
          <w:szCs w:val="22"/>
        </w:rPr>
        <w:t>, not just</w:t>
      </w:r>
      <w:r w:rsidR="0085343D" w:rsidRPr="00902727">
        <w:rPr>
          <w:sz w:val="22"/>
          <w:szCs w:val="22"/>
        </w:rPr>
        <w:t xml:space="preserve"> </w:t>
      </w:r>
      <w:r w:rsidR="007A721D">
        <w:rPr>
          <w:sz w:val="22"/>
          <w:szCs w:val="22"/>
        </w:rPr>
        <w:t xml:space="preserve">harm that results in </w:t>
      </w:r>
      <w:r w:rsidR="0085343D" w:rsidRPr="00902727">
        <w:rPr>
          <w:sz w:val="22"/>
          <w:szCs w:val="22"/>
        </w:rPr>
        <w:t>treatment at the acute end of the harm continuum</w:t>
      </w:r>
      <w:r w:rsidR="003730F9">
        <w:rPr>
          <w:sz w:val="22"/>
          <w:szCs w:val="22"/>
        </w:rPr>
        <w:t>.</w:t>
      </w:r>
      <w:r w:rsidR="0089060F">
        <w:rPr>
          <w:sz w:val="22"/>
          <w:szCs w:val="22"/>
        </w:rPr>
        <w:t xml:space="preserve"> </w:t>
      </w:r>
      <w:r w:rsidR="00A123AD">
        <w:rPr>
          <w:sz w:val="22"/>
          <w:szCs w:val="22"/>
        </w:rPr>
        <w:t xml:space="preserve"> </w:t>
      </w:r>
      <w:r w:rsidR="0089060F">
        <w:rPr>
          <w:sz w:val="22"/>
          <w:szCs w:val="22"/>
        </w:rPr>
        <w:t>The levy rates that would result are set out in Table</w:t>
      </w:r>
      <w:r>
        <w:rPr>
          <w:sz w:val="22"/>
          <w:szCs w:val="22"/>
        </w:rPr>
        <w:t> 6</w:t>
      </w:r>
      <w:r w:rsidR="0089060F">
        <w:rPr>
          <w:sz w:val="22"/>
          <w:szCs w:val="22"/>
        </w:rPr>
        <w:t>.</w:t>
      </w:r>
    </w:p>
    <w:p w:rsidR="003730F9" w:rsidRDefault="003730F9" w:rsidP="00DC28A0">
      <w:pPr>
        <w:rPr>
          <w:sz w:val="22"/>
          <w:szCs w:val="22"/>
        </w:rPr>
      </w:pPr>
    </w:p>
    <w:p w:rsidR="003730F9" w:rsidRPr="00614B90" w:rsidRDefault="003730F9" w:rsidP="00A123AD">
      <w:pPr>
        <w:pStyle w:val="Table"/>
        <w:ind w:left="567" w:firstLine="0"/>
        <w:rPr>
          <w:sz w:val="20"/>
        </w:rPr>
      </w:pPr>
      <w:bookmarkStart w:id="60" w:name="_Toc443057206"/>
      <w:r w:rsidRPr="00614B90">
        <w:rPr>
          <w:sz w:val="20"/>
        </w:rPr>
        <w:t xml:space="preserve">Table </w:t>
      </w:r>
      <w:r w:rsidR="0018579A">
        <w:rPr>
          <w:sz w:val="20"/>
        </w:rPr>
        <w:t>6</w:t>
      </w:r>
      <w:r w:rsidRPr="00614B90">
        <w:rPr>
          <w:sz w:val="20"/>
        </w:rPr>
        <w:t xml:space="preserve">: </w:t>
      </w:r>
      <w:r>
        <w:rPr>
          <w:sz w:val="20"/>
        </w:rPr>
        <w:t>Recommended levy rate f</w:t>
      </w:r>
      <w:r w:rsidR="00A123AD">
        <w:rPr>
          <w:sz w:val="20"/>
        </w:rPr>
        <w:t>or each gambling sector, 2016/17</w:t>
      </w:r>
      <w:r>
        <w:rPr>
          <w:sz w:val="20"/>
        </w:rPr>
        <w:t xml:space="preserve"> to 20</w:t>
      </w:r>
      <w:r w:rsidR="00A123AD">
        <w:rPr>
          <w:sz w:val="20"/>
        </w:rPr>
        <w:t>18/19</w:t>
      </w:r>
      <w:bookmarkEnd w:id="60"/>
    </w:p>
    <w:tbl>
      <w:tblPr>
        <w:tblW w:w="4666"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6"/>
        <w:gridCol w:w="1984"/>
        <w:gridCol w:w="1418"/>
        <w:gridCol w:w="1701"/>
        <w:gridCol w:w="1843"/>
      </w:tblGrid>
      <w:tr w:rsidR="003730F9" w:rsidRPr="00614B90" w:rsidTr="00A123AD">
        <w:trPr>
          <w:cantSplit/>
        </w:trPr>
        <w:tc>
          <w:tcPr>
            <w:tcW w:w="1985" w:type="dxa"/>
            <w:vMerge w:val="restart"/>
            <w:shd w:val="clear" w:color="auto" w:fill="auto"/>
            <w:noWrap/>
            <w:tcMar>
              <w:top w:w="0" w:type="dxa"/>
              <w:left w:w="108" w:type="dxa"/>
              <w:bottom w:w="0" w:type="dxa"/>
              <w:right w:w="108" w:type="dxa"/>
            </w:tcMar>
            <w:vAlign w:val="bottom"/>
          </w:tcPr>
          <w:p w:rsidR="003730F9" w:rsidRPr="00614B90" w:rsidRDefault="003730F9" w:rsidP="00E058C5">
            <w:pPr>
              <w:pStyle w:val="TableText"/>
              <w:rPr>
                <w:rFonts w:eastAsia="Arial Unicode MS"/>
                <w:b/>
              </w:rPr>
            </w:pPr>
            <w:r w:rsidRPr="00614B90">
              <w:rPr>
                <w:rFonts w:eastAsia="Arial Unicode MS"/>
                <w:b/>
              </w:rPr>
              <w:t>Expenditure to presentation ratio</w:t>
            </w:r>
          </w:p>
        </w:tc>
        <w:tc>
          <w:tcPr>
            <w:tcW w:w="6946" w:type="dxa"/>
            <w:gridSpan w:val="4"/>
            <w:shd w:val="clear" w:color="auto" w:fill="auto"/>
            <w:noWrap/>
            <w:tcMar>
              <w:top w:w="0" w:type="dxa"/>
              <w:left w:w="108" w:type="dxa"/>
              <w:bottom w:w="0" w:type="dxa"/>
              <w:right w:w="108" w:type="dxa"/>
            </w:tcMar>
          </w:tcPr>
          <w:p w:rsidR="003730F9" w:rsidRPr="00614B90" w:rsidRDefault="003730F9" w:rsidP="00E058C5">
            <w:pPr>
              <w:pStyle w:val="TableText"/>
              <w:jc w:val="center"/>
              <w:rPr>
                <w:b/>
              </w:rPr>
            </w:pPr>
            <w:r>
              <w:rPr>
                <w:rFonts w:eastAsia="Arial Unicode MS"/>
                <w:b/>
              </w:rPr>
              <w:t>Levy rate payable (%; GST exclusive)</w:t>
            </w:r>
          </w:p>
        </w:tc>
      </w:tr>
      <w:tr w:rsidR="003730F9" w:rsidRPr="00614B90" w:rsidTr="00A123AD">
        <w:trPr>
          <w:cantSplit/>
        </w:trPr>
        <w:tc>
          <w:tcPr>
            <w:tcW w:w="1985" w:type="dxa"/>
            <w:vMerge/>
            <w:tcBorders>
              <w:bottom w:val="single" w:sz="4" w:space="0" w:color="auto"/>
            </w:tcBorders>
            <w:shd w:val="clear" w:color="auto" w:fill="auto"/>
            <w:noWrap/>
            <w:tcMar>
              <w:top w:w="0" w:type="dxa"/>
              <w:left w:w="108" w:type="dxa"/>
              <w:bottom w:w="0" w:type="dxa"/>
              <w:right w:w="108" w:type="dxa"/>
            </w:tcMar>
          </w:tcPr>
          <w:p w:rsidR="003730F9" w:rsidRPr="00614B90" w:rsidRDefault="003730F9" w:rsidP="00E058C5">
            <w:pPr>
              <w:pStyle w:val="TableText"/>
              <w:rPr>
                <w:rFonts w:eastAsia="Arial Unicode MS"/>
                <w:b/>
              </w:rPr>
            </w:pPr>
          </w:p>
        </w:tc>
        <w:tc>
          <w:tcPr>
            <w:tcW w:w="1984" w:type="dxa"/>
            <w:tcBorders>
              <w:bottom w:val="single" w:sz="4" w:space="0" w:color="auto"/>
            </w:tcBorders>
            <w:shd w:val="clear" w:color="auto" w:fill="auto"/>
            <w:noWrap/>
            <w:tcMar>
              <w:top w:w="0" w:type="dxa"/>
              <w:left w:w="108" w:type="dxa"/>
              <w:bottom w:w="0" w:type="dxa"/>
              <w:right w:w="108" w:type="dxa"/>
            </w:tcMar>
          </w:tcPr>
          <w:p w:rsidR="003730F9" w:rsidRPr="00614B90" w:rsidRDefault="003730F9" w:rsidP="00E058C5">
            <w:pPr>
              <w:pStyle w:val="TableText"/>
              <w:jc w:val="center"/>
              <w:rPr>
                <w:b/>
                <w:bCs/>
              </w:rPr>
            </w:pPr>
            <w:r w:rsidRPr="00614B90">
              <w:rPr>
                <w:b/>
              </w:rPr>
              <w:t>Non-casino gaming machines</w:t>
            </w:r>
          </w:p>
        </w:tc>
        <w:tc>
          <w:tcPr>
            <w:tcW w:w="1418" w:type="dxa"/>
            <w:tcBorders>
              <w:bottom w:val="single" w:sz="4" w:space="0" w:color="auto"/>
            </w:tcBorders>
            <w:shd w:val="clear" w:color="auto" w:fill="auto"/>
            <w:noWrap/>
            <w:tcMar>
              <w:top w:w="0" w:type="dxa"/>
              <w:left w:w="108" w:type="dxa"/>
              <w:bottom w:w="0" w:type="dxa"/>
              <w:right w:w="108" w:type="dxa"/>
            </w:tcMar>
          </w:tcPr>
          <w:p w:rsidR="003730F9" w:rsidRPr="00614B90" w:rsidRDefault="003730F9" w:rsidP="00E058C5">
            <w:pPr>
              <w:pStyle w:val="TableText"/>
              <w:jc w:val="center"/>
              <w:rPr>
                <w:b/>
                <w:bCs/>
              </w:rPr>
            </w:pPr>
            <w:r w:rsidRPr="00614B90">
              <w:rPr>
                <w:b/>
              </w:rPr>
              <w:t>Casinos</w:t>
            </w:r>
          </w:p>
        </w:tc>
        <w:tc>
          <w:tcPr>
            <w:tcW w:w="1701" w:type="dxa"/>
            <w:tcBorders>
              <w:bottom w:val="single" w:sz="4" w:space="0" w:color="auto"/>
            </w:tcBorders>
            <w:shd w:val="clear" w:color="auto" w:fill="auto"/>
            <w:noWrap/>
            <w:tcMar>
              <w:top w:w="0" w:type="dxa"/>
              <w:left w:w="108" w:type="dxa"/>
              <w:bottom w:w="0" w:type="dxa"/>
              <w:right w:w="108" w:type="dxa"/>
            </w:tcMar>
          </w:tcPr>
          <w:p w:rsidR="003730F9" w:rsidRPr="00614B90" w:rsidRDefault="003730F9" w:rsidP="00E058C5">
            <w:pPr>
              <w:pStyle w:val="TableText"/>
              <w:jc w:val="center"/>
              <w:rPr>
                <w:b/>
                <w:bCs/>
              </w:rPr>
            </w:pPr>
            <w:r w:rsidRPr="00614B90">
              <w:rPr>
                <w:b/>
              </w:rPr>
              <w:t>New Zealand Racing Board</w:t>
            </w:r>
          </w:p>
        </w:tc>
        <w:tc>
          <w:tcPr>
            <w:tcW w:w="1843" w:type="dxa"/>
            <w:tcBorders>
              <w:bottom w:val="single" w:sz="4" w:space="0" w:color="auto"/>
            </w:tcBorders>
            <w:shd w:val="clear" w:color="auto" w:fill="auto"/>
          </w:tcPr>
          <w:p w:rsidR="003730F9" w:rsidRPr="00614B90" w:rsidRDefault="003730F9" w:rsidP="00E058C5">
            <w:pPr>
              <w:pStyle w:val="TableText"/>
              <w:jc w:val="center"/>
              <w:rPr>
                <w:b/>
                <w:bCs/>
              </w:rPr>
            </w:pPr>
            <w:r w:rsidRPr="00614B90">
              <w:rPr>
                <w:b/>
              </w:rPr>
              <w:t>New Zealand Lotteries Commission</w:t>
            </w:r>
          </w:p>
        </w:tc>
      </w:tr>
      <w:tr w:rsidR="003730F9" w:rsidRPr="00614B90" w:rsidTr="00A123AD">
        <w:trPr>
          <w:cantSplit/>
        </w:trPr>
        <w:tc>
          <w:tcPr>
            <w:tcW w:w="1985" w:type="dxa"/>
            <w:tcBorders>
              <w:top w:val="single" w:sz="4" w:space="0" w:color="auto"/>
              <w:bottom w:val="single" w:sz="4" w:space="0" w:color="auto"/>
            </w:tcBorders>
            <w:shd w:val="clear" w:color="auto" w:fill="auto"/>
            <w:noWrap/>
            <w:tcMar>
              <w:top w:w="0" w:type="dxa"/>
              <w:left w:w="108" w:type="dxa"/>
              <w:bottom w:w="0" w:type="dxa"/>
              <w:right w:w="108" w:type="dxa"/>
            </w:tcMar>
            <w:vAlign w:val="center"/>
          </w:tcPr>
          <w:p w:rsidR="003730F9" w:rsidRPr="00614B90" w:rsidRDefault="008F3EDD" w:rsidP="00264DA9">
            <w:pPr>
              <w:pStyle w:val="TableText"/>
              <w:spacing w:before="0"/>
            </w:pPr>
            <w:r>
              <w:t>20/80</w:t>
            </w:r>
          </w:p>
        </w:tc>
        <w:tc>
          <w:tcPr>
            <w:tcW w:w="1984" w:type="dxa"/>
            <w:tcBorders>
              <w:top w:val="single" w:sz="4" w:space="0" w:color="auto"/>
              <w:bottom w:val="single" w:sz="4" w:space="0" w:color="auto"/>
            </w:tcBorders>
            <w:shd w:val="clear" w:color="auto" w:fill="auto"/>
            <w:noWrap/>
            <w:tcMar>
              <w:top w:w="0" w:type="dxa"/>
              <w:left w:w="108" w:type="dxa"/>
              <w:bottom w:w="0" w:type="dxa"/>
              <w:right w:w="108" w:type="dxa"/>
            </w:tcMar>
            <w:vAlign w:val="center"/>
          </w:tcPr>
          <w:p w:rsidR="003730F9" w:rsidRPr="00614B90" w:rsidRDefault="003730F9" w:rsidP="00264DA9">
            <w:pPr>
              <w:pStyle w:val="TableText"/>
              <w:spacing w:before="0"/>
              <w:jc w:val="center"/>
              <w:rPr>
                <w:rFonts w:eastAsia="Arial Unicode MS"/>
              </w:rPr>
            </w:pPr>
            <w:r>
              <w:rPr>
                <w:bCs/>
              </w:rPr>
              <w:t>1.2</w:t>
            </w:r>
            <w:r w:rsidR="004024FE">
              <w:rPr>
                <w:bCs/>
              </w:rPr>
              <w:t>6</w:t>
            </w:r>
          </w:p>
        </w:tc>
        <w:tc>
          <w:tcPr>
            <w:tcW w:w="1418" w:type="dxa"/>
            <w:tcBorders>
              <w:top w:val="single" w:sz="4" w:space="0" w:color="auto"/>
              <w:bottom w:val="single" w:sz="4" w:space="0" w:color="auto"/>
            </w:tcBorders>
            <w:shd w:val="clear" w:color="auto" w:fill="auto"/>
            <w:noWrap/>
            <w:tcMar>
              <w:top w:w="0" w:type="dxa"/>
              <w:left w:w="108" w:type="dxa"/>
              <w:bottom w:w="0" w:type="dxa"/>
              <w:right w:w="108" w:type="dxa"/>
            </w:tcMar>
            <w:vAlign w:val="center"/>
          </w:tcPr>
          <w:p w:rsidR="003730F9" w:rsidRPr="00614B90" w:rsidRDefault="003730F9" w:rsidP="00264DA9">
            <w:pPr>
              <w:pStyle w:val="TableText"/>
              <w:spacing w:before="0"/>
              <w:jc w:val="center"/>
              <w:rPr>
                <w:rFonts w:eastAsia="Arial Unicode MS"/>
              </w:rPr>
            </w:pPr>
            <w:r>
              <w:rPr>
                <w:bCs/>
              </w:rPr>
              <w:t>0.</w:t>
            </w:r>
            <w:r w:rsidR="004024FE">
              <w:rPr>
                <w:bCs/>
              </w:rPr>
              <w:t>89</w:t>
            </w:r>
          </w:p>
        </w:tc>
        <w:tc>
          <w:tcPr>
            <w:tcW w:w="1701" w:type="dxa"/>
            <w:tcBorders>
              <w:top w:val="single" w:sz="4" w:space="0" w:color="auto"/>
              <w:bottom w:val="single" w:sz="4" w:space="0" w:color="auto"/>
            </w:tcBorders>
            <w:shd w:val="clear" w:color="auto" w:fill="auto"/>
            <w:noWrap/>
            <w:tcMar>
              <w:top w:w="0" w:type="dxa"/>
              <w:left w:w="108" w:type="dxa"/>
              <w:bottom w:w="0" w:type="dxa"/>
              <w:right w:w="108" w:type="dxa"/>
            </w:tcMar>
            <w:vAlign w:val="center"/>
          </w:tcPr>
          <w:p w:rsidR="003730F9" w:rsidRPr="00614B90" w:rsidRDefault="003730F9" w:rsidP="00264DA9">
            <w:pPr>
              <w:pStyle w:val="TableText"/>
              <w:spacing w:before="0"/>
              <w:jc w:val="center"/>
              <w:rPr>
                <w:rFonts w:eastAsia="Arial Unicode MS"/>
              </w:rPr>
            </w:pPr>
            <w:r>
              <w:rPr>
                <w:bCs/>
              </w:rPr>
              <w:t>0.</w:t>
            </w:r>
            <w:r w:rsidR="004024FE">
              <w:rPr>
                <w:bCs/>
              </w:rPr>
              <w:t>54</w:t>
            </w:r>
          </w:p>
        </w:tc>
        <w:tc>
          <w:tcPr>
            <w:tcW w:w="1843" w:type="dxa"/>
            <w:tcBorders>
              <w:top w:val="single" w:sz="4" w:space="0" w:color="auto"/>
              <w:bottom w:val="single" w:sz="4" w:space="0" w:color="auto"/>
            </w:tcBorders>
            <w:shd w:val="clear" w:color="auto" w:fill="auto"/>
            <w:vAlign w:val="center"/>
          </w:tcPr>
          <w:p w:rsidR="003730F9" w:rsidRPr="00614B90" w:rsidRDefault="003730F9" w:rsidP="009B28C9">
            <w:pPr>
              <w:pStyle w:val="TableText"/>
              <w:spacing w:before="0"/>
              <w:jc w:val="center"/>
              <w:rPr>
                <w:rFonts w:eastAsia="Arial Unicode MS"/>
              </w:rPr>
            </w:pPr>
            <w:r>
              <w:rPr>
                <w:bCs/>
              </w:rPr>
              <w:t>0.4</w:t>
            </w:r>
            <w:r w:rsidR="004024FE">
              <w:rPr>
                <w:bCs/>
              </w:rPr>
              <w:t>4</w:t>
            </w:r>
          </w:p>
        </w:tc>
      </w:tr>
    </w:tbl>
    <w:p w:rsidR="003730F9" w:rsidRPr="00A123AD" w:rsidRDefault="003730F9" w:rsidP="00A123AD">
      <w:pPr>
        <w:spacing w:after="120"/>
        <w:rPr>
          <w:sz w:val="22"/>
          <w:szCs w:val="22"/>
        </w:rPr>
      </w:pPr>
    </w:p>
    <w:p w:rsidR="009F2D15" w:rsidRPr="00B77D78" w:rsidRDefault="000C7147" w:rsidP="000C7147">
      <w:pPr>
        <w:pStyle w:val="Heading1"/>
      </w:pPr>
      <w:bookmarkStart w:id="61" w:name="_Toc259613879"/>
      <w:r>
        <w:br w:type="page"/>
      </w:r>
      <w:bookmarkStart w:id="62" w:name="_Toc440029233"/>
      <w:r w:rsidR="009F2D15" w:rsidRPr="00B77D78">
        <w:lastRenderedPageBreak/>
        <w:t>Implementation</w:t>
      </w:r>
      <w:bookmarkEnd w:id="61"/>
      <w:bookmarkEnd w:id="62"/>
    </w:p>
    <w:p w:rsidR="003E2699" w:rsidRDefault="00FB2CED" w:rsidP="007771CB">
      <w:pPr>
        <w:numPr>
          <w:ilvl w:val="0"/>
          <w:numId w:val="41"/>
        </w:numPr>
        <w:ind w:left="567" w:hanging="567"/>
        <w:rPr>
          <w:sz w:val="22"/>
          <w:szCs w:val="22"/>
        </w:rPr>
      </w:pPr>
      <w:r>
        <w:rPr>
          <w:sz w:val="22"/>
          <w:szCs w:val="22"/>
        </w:rPr>
        <w:t xml:space="preserve">Assuming that Government decides to </w:t>
      </w:r>
      <w:r w:rsidR="00B4545A">
        <w:rPr>
          <w:sz w:val="22"/>
          <w:szCs w:val="22"/>
        </w:rPr>
        <w:t xml:space="preserve">refresh the Strategy and </w:t>
      </w:r>
      <w:r>
        <w:rPr>
          <w:sz w:val="22"/>
          <w:szCs w:val="22"/>
        </w:rPr>
        <w:t xml:space="preserve">put in place a new levy, its </w:t>
      </w:r>
      <w:r w:rsidR="009F2D15" w:rsidRPr="003E2699">
        <w:rPr>
          <w:sz w:val="22"/>
          <w:szCs w:val="22"/>
        </w:rPr>
        <w:t>decision</w:t>
      </w:r>
      <w:r w:rsidR="004E317B" w:rsidRPr="003E2699">
        <w:rPr>
          <w:sz w:val="22"/>
          <w:szCs w:val="22"/>
        </w:rPr>
        <w:t>s</w:t>
      </w:r>
      <w:r w:rsidR="009F2D15" w:rsidRPr="003E2699">
        <w:rPr>
          <w:sz w:val="22"/>
          <w:szCs w:val="22"/>
        </w:rPr>
        <w:t xml:space="preserve"> </w:t>
      </w:r>
      <w:r w:rsidR="004E317B" w:rsidRPr="003E2699">
        <w:rPr>
          <w:sz w:val="22"/>
          <w:szCs w:val="22"/>
        </w:rPr>
        <w:t xml:space="preserve">will be incorporated in </w:t>
      </w:r>
      <w:r w:rsidR="009F2D15" w:rsidRPr="003E2699">
        <w:rPr>
          <w:sz w:val="22"/>
          <w:szCs w:val="22"/>
        </w:rPr>
        <w:t>problem gambling levy regulations</w:t>
      </w:r>
      <w:r w:rsidR="004E317B" w:rsidRPr="003E2699">
        <w:rPr>
          <w:sz w:val="22"/>
          <w:szCs w:val="22"/>
        </w:rPr>
        <w:t xml:space="preserve"> </w:t>
      </w:r>
      <w:r w:rsidR="003E2699" w:rsidRPr="003E2699">
        <w:rPr>
          <w:sz w:val="22"/>
          <w:szCs w:val="22"/>
        </w:rPr>
        <w:t>to take effect on</w:t>
      </w:r>
      <w:r w:rsidR="00D13E3B">
        <w:rPr>
          <w:sz w:val="22"/>
          <w:szCs w:val="22"/>
        </w:rPr>
        <w:t xml:space="preserve"> 1 July 2016</w:t>
      </w:r>
      <w:r w:rsidR="004E317B" w:rsidRPr="003E2699">
        <w:rPr>
          <w:sz w:val="22"/>
          <w:szCs w:val="22"/>
        </w:rPr>
        <w:t xml:space="preserve"> </w:t>
      </w:r>
      <w:r w:rsidR="003E2699">
        <w:rPr>
          <w:sz w:val="22"/>
          <w:szCs w:val="22"/>
        </w:rPr>
        <w:t xml:space="preserve">and remain in force until </w:t>
      </w:r>
      <w:r w:rsidR="004E317B" w:rsidRPr="003E2699">
        <w:rPr>
          <w:sz w:val="22"/>
          <w:szCs w:val="22"/>
        </w:rPr>
        <w:t>30</w:t>
      </w:r>
      <w:r w:rsidR="00D13E3B">
        <w:rPr>
          <w:sz w:val="22"/>
          <w:szCs w:val="22"/>
        </w:rPr>
        <w:t> </w:t>
      </w:r>
      <w:r w:rsidR="004E317B" w:rsidRPr="003E2699">
        <w:rPr>
          <w:sz w:val="22"/>
          <w:szCs w:val="22"/>
        </w:rPr>
        <w:t>June</w:t>
      </w:r>
      <w:r w:rsidR="00D13E3B">
        <w:rPr>
          <w:sz w:val="22"/>
          <w:szCs w:val="22"/>
        </w:rPr>
        <w:t> 2019</w:t>
      </w:r>
      <w:r w:rsidR="004E317B" w:rsidRPr="003E2699">
        <w:rPr>
          <w:sz w:val="22"/>
          <w:szCs w:val="22"/>
        </w:rPr>
        <w:t xml:space="preserve">. These regulations must be </w:t>
      </w:r>
      <w:r w:rsidR="00D13E3B">
        <w:rPr>
          <w:sz w:val="22"/>
          <w:szCs w:val="22"/>
        </w:rPr>
        <w:t xml:space="preserve">notified in the </w:t>
      </w:r>
      <w:r w:rsidR="004E317B" w:rsidRPr="003E2699">
        <w:rPr>
          <w:i/>
          <w:sz w:val="22"/>
          <w:szCs w:val="22"/>
        </w:rPr>
        <w:t>Gazett</w:t>
      </w:r>
      <w:r w:rsidR="00D13E3B">
        <w:rPr>
          <w:i/>
          <w:sz w:val="22"/>
          <w:szCs w:val="22"/>
        </w:rPr>
        <w:t>e</w:t>
      </w:r>
      <w:r w:rsidR="004E317B" w:rsidRPr="003E2699">
        <w:rPr>
          <w:sz w:val="22"/>
          <w:szCs w:val="22"/>
        </w:rPr>
        <w:t xml:space="preserve"> by </w:t>
      </w:r>
      <w:r w:rsidR="00D13E3B">
        <w:rPr>
          <w:sz w:val="22"/>
          <w:szCs w:val="22"/>
        </w:rPr>
        <w:t>2 June 2016</w:t>
      </w:r>
      <w:r w:rsidR="004E317B" w:rsidRPr="003E2699">
        <w:rPr>
          <w:sz w:val="22"/>
          <w:szCs w:val="22"/>
        </w:rPr>
        <w:t xml:space="preserve"> in order to comply with the 28-day rule. </w:t>
      </w:r>
    </w:p>
    <w:p w:rsidR="003E2699" w:rsidRDefault="003E2699" w:rsidP="007771CB">
      <w:pPr>
        <w:rPr>
          <w:sz w:val="22"/>
          <w:szCs w:val="22"/>
        </w:rPr>
      </w:pPr>
    </w:p>
    <w:p w:rsidR="009F2D15" w:rsidRPr="003E2699" w:rsidRDefault="004E317B" w:rsidP="007771CB">
      <w:pPr>
        <w:numPr>
          <w:ilvl w:val="0"/>
          <w:numId w:val="41"/>
        </w:numPr>
        <w:ind w:left="567" w:hanging="567"/>
        <w:rPr>
          <w:sz w:val="22"/>
          <w:szCs w:val="22"/>
        </w:rPr>
      </w:pPr>
      <w:r w:rsidRPr="003E2699">
        <w:rPr>
          <w:sz w:val="22"/>
          <w:szCs w:val="22"/>
        </w:rPr>
        <w:t xml:space="preserve">Once the regulations are </w:t>
      </w:r>
      <w:r w:rsidR="00D13E3B">
        <w:rPr>
          <w:sz w:val="22"/>
          <w:szCs w:val="22"/>
        </w:rPr>
        <w:t xml:space="preserve">notified in the </w:t>
      </w:r>
      <w:r w:rsidRPr="003E2699">
        <w:rPr>
          <w:i/>
          <w:sz w:val="22"/>
          <w:szCs w:val="22"/>
        </w:rPr>
        <w:t>Gazette</w:t>
      </w:r>
      <w:r w:rsidRPr="003E2699">
        <w:rPr>
          <w:sz w:val="22"/>
          <w:szCs w:val="22"/>
        </w:rPr>
        <w:t xml:space="preserve">, </w:t>
      </w:r>
      <w:r w:rsidR="009F2D15" w:rsidRPr="003E2699">
        <w:rPr>
          <w:sz w:val="22"/>
          <w:szCs w:val="22"/>
        </w:rPr>
        <w:t>the Ministry will confirm contract arrangements with its service providers</w:t>
      </w:r>
      <w:r w:rsidR="00C65238">
        <w:rPr>
          <w:sz w:val="22"/>
          <w:szCs w:val="22"/>
        </w:rPr>
        <w:t>,</w:t>
      </w:r>
      <w:r w:rsidR="009F2D15" w:rsidRPr="003E2699">
        <w:rPr>
          <w:sz w:val="22"/>
          <w:szCs w:val="22"/>
        </w:rPr>
        <w:t xml:space="preserve"> and the IRD will conclude system changes to </w:t>
      </w:r>
      <w:r w:rsidRPr="003E2699">
        <w:rPr>
          <w:sz w:val="22"/>
          <w:szCs w:val="22"/>
        </w:rPr>
        <w:t>implement</w:t>
      </w:r>
      <w:r w:rsidR="009F2D15" w:rsidRPr="003E2699">
        <w:rPr>
          <w:sz w:val="22"/>
          <w:szCs w:val="22"/>
        </w:rPr>
        <w:t xml:space="preserve"> any changes to the levy rates.</w:t>
      </w:r>
      <w:r w:rsidR="00874298">
        <w:rPr>
          <w:sz w:val="22"/>
          <w:szCs w:val="22"/>
        </w:rPr>
        <w:t xml:space="preserve"> </w:t>
      </w:r>
      <w:r w:rsidR="00D5540E">
        <w:rPr>
          <w:sz w:val="22"/>
          <w:szCs w:val="22"/>
        </w:rPr>
        <w:t>DIA</w:t>
      </w:r>
      <w:r w:rsidR="00874298">
        <w:rPr>
          <w:sz w:val="22"/>
          <w:szCs w:val="22"/>
        </w:rPr>
        <w:t xml:space="preserve"> will advise gambling operators of the new </w:t>
      </w:r>
      <w:r w:rsidR="00D5540E">
        <w:rPr>
          <w:sz w:val="22"/>
          <w:szCs w:val="22"/>
        </w:rPr>
        <w:t xml:space="preserve">levy </w:t>
      </w:r>
      <w:r w:rsidR="00874298">
        <w:rPr>
          <w:sz w:val="22"/>
          <w:szCs w:val="22"/>
        </w:rPr>
        <w:t>rates.</w:t>
      </w:r>
    </w:p>
    <w:p w:rsidR="000C7147" w:rsidRPr="003E2699" w:rsidRDefault="000C7147" w:rsidP="007771CB">
      <w:pPr>
        <w:rPr>
          <w:sz w:val="22"/>
          <w:szCs w:val="22"/>
        </w:rPr>
      </w:pPr>
    </w:p>
    <w:p w:rsidR="009F2D15" w:rsidRPr="003E2699" w:rsidRDefault="009F2D15" w:rsidP="007771CB">
      <w:pPr>
        <w:numPr>
          <w:ilvl w:val="0"/>
          <w:numId w:val="41"/>
        </w:numPr>
        <w:ind w:left="567" w:hanging="567"/>
        <w:rPr>
          <w:sz w:val="22"/>
          <w:szCs w:val="22"/>
        </w:rPr>
      </w:pPr>
      <w:r w:rsidRPr="003E2699">
        <w:rPr>
          <w:sz w:val="22"/>
          <w:szCs w:val="22"/>
        </w:rPr>
        <w:t xml:space="preserve">The Ministry has </w:t>
      </w:r>
      <w:r w:rsidR="003A5BB9">
        <w:rPr>
          <w:sz w:val="22"/>
          <w:szCs w:val="22"/>
        </w:rPr>
        <w:t>rolled over</w:t>
      </w:r>
      <w:r w:rsidR="003E2699">
        <w:rPr>
          <w:sz w:val="22"/>
          <w:szCs w:val="22"/>
        </w:rPr>
        <w:t xml:space="preserve"> contracts</w:t>
      </w:r>
      <w:r w:rsidR="003A5BB9">
        <w:rPr>
          <w:sz w:val="22"/>
          <w:szCs w:val="22"/>
        </w:rPr>
        <w:t xml:space="preserve"> until 30 June 2017. These arrangements we</w:t>
      </w:r>
      <w:r w:rsidR="003E2699">
        <w:rPr>
          <w:sz w:val="22"/>
          <w:szCs w:val="22"/>
        </w:rPr>
        <w:t xml:space="preserve">re necessary to ensure stability </w:t>
      </w:r>
      <w:r w:rsidRPr="003E2699">
        <w:rPr>
          <w:sz w:val="22"/>
          <w:szCs w:val="22"/>
        </w:rPr>
        <w:t xml:space="preserve">in the sector during the transition from the </w:t>
      </w:r>
      <w:r w:rsidR="00E16624">
        <w:rPr>
          <w:sz w:val="22"/>
          <w:szCs w:val="22"/>
        </w:rPr>
        <w:t>2013/14 to 2015/16</w:t>
      </w:r>
      <w:r w:rsidR="003E2699" w:rsidRPr="003E2699">
        <w:rPr>
          <w:sz w:val="22"/>
          <w:szCs w:val="22"/>
        </w:rPr>
        <w:t xml:space="preserve"> </w:t>
      </w:r>
      <w:r w:rsidR="00D5540E">
        <w:rPr>
          <w:sz w:val="22"/>
          <w:szCs w:val="22"/>
        </w:rPr>
        <w:t>Strategy</w:t>
      </w:r>
      <w:r w:rsidRPr="003E2699">
        <w:rPr>
          <w:sz w:val="22"/>
          <w:szCs w:val="22"/>
        </w:rPr>
        <w:t xml:space="preserve"> to the </w:t>
      </w:r>
      <w:r w:rsidR="00E16624">
        <w:rPr>
          <w:sz w:val="22"/>
          <w:szCs w:val="22"/>
        </w:rPr>
        <w:t xml:space="preserve">2016/17 to 2018/19 </w:t>
      </w:r>
      <w:r w:rsidR="00D5540E">
        <w:rPr>
          <w:sz w:val="22"/>
          <w:szCs w:val="22"/>
        </w:rPr>
        <w:t>Strategy</w:t>
      </w:r>
      <w:r w:rsidRPr="003E2699">
        <w:rPr>
          <w:sz w:val="22"/>
          <w:szCs w:val="22"/>
        </w:rPr>
        <w:t>.</w:t>
      </w:r>
    </w:p>
    <w:p w:rsidR="000C7147" w:rsidRPr="003E2699" w:rsidRDefault="000C7147" w:rsidP="007771CB">
      <w:pPr>
        <w:rPr>
          <w:sz w:val="22"/>
          <w:szCs w:val="22"/>
        </w:rPr>
      </w:pPr>
    </w:p>
    <w:p w:rsidR="009F2D15" w:rsidRPr="003E2699" w:rsidRDefault="009F2D15" w:rsidP="007771CB">
      <w:pPr>
        <w:numPr>
          <w:ilvl w:val="0"/>
          <w:numId w:val="41"/>
        </w:numPr>
        <w:ind w:left="567" w:hanging="567"/>
        <w:rPr>
          <w:sz w:val="22"/>
          <w:szCs w:val="22"/>
        </w:rPr>
      </w:pPr>
      <w:r w:rsidRPr="003E2699">
        <w:rPr>
          <w:sz w:val="22"/>
          <w:szCs w:val="22"/>
        </w:rPr>
        <w:t>If Cabinet</w:t>
      </w:r>
      <w:r w:rsidR="000D42F2" w:rsidRPr="003E2699">
        <w:rPr>
          <w:sz w:val="22"/>
          <w:szCs w:val="22"/>
        </w:rPr>
        <w:t>’</w:t>
      </w:r>
      <w:r w:rsidRPr="003E2699">
        <w:rPr>
          <w:sz w:val="22"/>
          <w:szCs w:val="22"/>
        </w:rPr>
        <w:t xml:space="preserve">s decision on the </w:t>
      </w:r>
      <w:r w:rsidR="003E2699">
        <w:rPr>
          <w:sz w:val="22"/>
          <w:szCs w:val="22"/>
        </w:rPr>
        <w:t xml:space="preserve">Ministry’s </w:t>
      </w:r>
      <w:r w:rsidRPr="003E2699">
        <w:rPr>
          <w:sz w:val="22"/>
          <w:szCs w:val="22"/>
        </w:rPr>
        <w:t xml:space="preserve">appropriation for </w:t>
      </w:r>
      <w:r w:rsidR="00E16624">
        <w:rPr>
          <w:sz w:val="22"/>
          <w:szCs w:val="22"/>
        </w:rPr>
        <w:t>2016/17 to 2018/19</w:t>
      </w:r>
      <w:r w:rsidR="003E2699" w:rsidRPr="003E2699">
        <w:rPr>
          <w:sz w:val="22"/>
          <w:szCs w:val="22"/>
        </w:rPr>
        <w:t xml:space="preserve"> </w:t>
      </w:r>
      <w:r w:rsidRPr="003E2699">
        <w:rPr>
          <w:sz w:val="22"/>
          <w:szCs w:val="22"/>
        </w:rPr>
        <w:t xml:space="preserve">differs from that in the </w:t>
      </w:r>
      <w:r w:rsidR="00C65238">
        <w:rPr>
          <w:sz w:val="22"/>
          <w:szCs w:val="22"/>
        </w:rPr>
        <w:t>proposed</w:t>
      </w:r>
      <w:r w:rsidRPr="003E2699">
        <w:rPr>
          <w:sz w:val="22"/>
          <w:szCs w:val="22"/>
        </w:rPr>
        <w:t xml:space="preserve"> </w:t>
      </w:r>
      <w:r w:rsidR="00E16624">
        <w:rPr>
          <w:sz w:val="22"/>
          <w:szCs w:val="22"/>
        </w:rPr>
        <w:t>Strategy</w:t>
      </w:r>
      <w:r w:rsidRPr="003E2699">
        <w:rPr>
          <w:sz w:val="22"/>
          <w:szCs w:val="22"/>
        </w:rPr>
        <w:t xml:space="preserve">, the Ministry will meet any shortfall in costs from within existing baselines, and realign (or exit) contracts </w:t>
      </w:r>
      <w:r w:rsidR="00E16624">
        <w:rPr>
          <w:sz w:val="22"/>
          <w:szCs w:val="22"/>
        </w:rPr>
        <w:t xml:space="preserve">from </w:t>
      </w:r>
      <w:r w:rsidR="00387C58">
        <w:rPr>
          <w:sz w:val="22"/>
          <w:szCs w:val="22"/>
        </w:rPr>
        <w:t>30</w:t>
      </w:r>
      <w:r w:rsidR="003A5BB9">
        <w:rPr>
          <w:sz w:val="22"/>
          <w:szCs w:val="22"/>
        </w:rPr>
        <w:t> June </w:t>
      </w:r>
      <w:r w:rsidR="00E16624">
        <w:rPr>
          <w:sz w:val="22"/>
          <w:szCs w:val="22"/>
        </w:rPr>
        <w:t>2017</w:t>
      </w:r>
      <w:r w:rsidR="003E2699" w:rsidRPr="003E2699">
        <w:rPr>
          <w:sz w:val="22"/>
          <w:szCs w:val="22"/>
        </w:rPr>
        <w:t xml:space="preserve"> </w:t>
      </w:r>
      <w:r w:rsidR="003E2699">
        <w:rPr>
          <w:sz w:val="22"/>
          <w:szCs w:val="22"/>
        </w:rPr>
        <w:t xml:space="preserve">to remain </w:t>
      </w:r>
      <w:r w:rsidR="003E2699" w:rsidRPr="003E2699">
        <w:rPr>
          <w:sz w:val="22"/>
          <w:szCs w:val="22"/>
        </w:rPr>
        <w:t>with</w:t>
      </w:r>
      <w:r w:rsidR="003E2699">
        <w:rPr>
          <w:sz w:val="22"/>
          <w:szCs w:val="22"/>
        </w:rPr>
        <w:t>in</w:t>
      </w:r>
      <w:r w:rsidR="003E2699" w:rsidRPr="003E2699">
        <w:rPr>
          <w:sz w:val="22"/>
          <w:szCs w:val="22"/>
        </w:rPr>
        <w:t xml:space="preserve"> Cabinet’s approved appropriation</w:t>
      </w:r>
      <w:r w:rsidRPr="003E2699">
        <w:rPr>
          <w:sz w:val="22"/>
          <w:szCs w:val="22"/>
        </w:rPr>
        <w:t>.</w:t>
      </w:r>
    </w:p>
    <w:p w:rsidR="000C7147" w:rsidRPr="003E2699" w:rsidRDefault="000C7147" w:rsidP="007771CB">
      <w:pPr>
        <w:rPr>
          <w:sz w:val="22"/>
          <w:szCs w:val="22"/>
        </w:rPr>
      </w:pPr>
    </w:p>
    <w:p w:rsidR="009F2D15" w:rsidRPr="00B77D78" w:rsidRDefault="000C7147" w:rsidP="000C7147">
      <w:pPr>
        <w:pStyle w:val="Heading1"/>
      </w:pPr>
      <w:bookmarkStart w:id="63" w:name="_Toc259613882"/>
      <w:r>
        <w:br w:type="page"/>
      </w:r>
      <w:bookmarkStart w:id="64" w:name="_Toc440029234"/>
      <w:r w:rsidR="009F2D15" w:rsidRPr="00B77D78">
        <w:lastRenderedPageBreak/>
        <w:t>Monitoring, Evaluation and Review</w:t>
      </w:r>
      <w:bookmarkEnd w:id="63"/>
      <w:bookmarkEnd w:id="64"/>
    </w:p>
    <w:p w:rsidR="00BC2DA9" w:rsidRDefault="007771CB" w:rsidP="007771CB">
      <w:pPr>
        <w:numPr>
          <w:ilvl w:val="0"/>
          <w:numId w:val="41"/>
        </w:numPr>
        <w:ind w:left="567" w:hanging="567"/>
        <w:rPr>
          <w:sz w:val="22"/>
          <w:szCs w:val="22"/>
        </w:rPr>
      </w:pPr>
      <w:bookmarkStart w:id="65" w:name="_Toc259613883"/>
      <w:r>
        <w:rPr>
          <w:sz w:val="22"/>
          <w:szCs w:val="22"/>
        </w:rPr>
        <w:t>In 2018</w:t>
      </w:r>
      <w:r w:rsidR="00BC2DA9">
        <w:rPr>
          <w:sz w:val="22"/>
          <w:szCs w:val="22"/>
        </w:rPr>
        <w:t xml:space="preserve">, </w:t>
      </w:r>
      <w:r>
        <w:rPr>
          <w:sz w:val="22"/>
          <w:szCs w:val="22"/>
        </w:rPr>
        <w:t>the Strategy should be refreshed</w:t>
      </w:r>
      <w:r w:rsidR="00BC2DA9">
        <w:rPr>
          <w:sz w:val="22"/>
          <w:szCs w:val="22"/>
        </w:rPr>
        <w:t xml:space="preserve"> and </w:t>
      </w:r>
      <w:r>
        <w:rPr>
          <w:sz w:val="22"/>
          <w:szCs w:val="22"/>
        </w:rPr>
        <w:t xml:space="preserve">new </w:t>
      </w:r>
      <w:r w:rsidR="00BC2DA9">
        <w:rPr>
          <w:sz w:val="22"/>
          <w:szCs w:val="22"/>
        </w:rPr>
        <w:t>problem gambling levy regulations developed to</w:t>
      </w:r>
      <w:r>
        <w:rPr>
          <w:sz w:val="22"/>
          <w:szCs w:val="22"/>
        </w:rPr>
        <w:t xml:space="preserve"> come into effect on 1 July 2019</w:t>
      </w:r>
      <w:r w:rsidR="00BC2DA9">
        <w:rPr>
          <w:sz w:val="22"/>
          <w:szCs w:val="22"/>
        </w:rPr>
        <w:t xml:space="preserve">. </w:t>
      </w:r>
      <w:r>
        <w:rPr>
          <w:sz w:val="22"/>
          <w:szCs w:val="22"/>
        </w:rPr>
        <w:t xml:space="preserve"> </w:t>
      </w:r>
      <w:r w:rsidR="00BC2DA9">
        <w:rPr>
          <w:sz w:val="22"/>
          <w:szCs w:val="22"/>
        </w:rPr>
        <w:t xml:space="preserve">This process will entail </w:t>
      </w:r>
      <w:r w:rsidR="00937082">
        <w:rPr>
          <w:sz w:val="22"/>
          <w:szCs w:val="22"/>
        </w:rPr>
        <w:t>a</w:t>
      </w:r>
      <w:r>
        <w:rPr>
          <w:sz w:val="22"/>
          <w:szCs w:val="22"/>
        </w:rPr>
        <w:t xml:space="preserve"> review of the S</w:t>
      </w:r>
      <w:r w:rsidR="00BC2DA9">
        <w:rPr>
          <w:sz w:val="22"/>
          <w:szCs w:val="22"/>
        </w:rPr>
        <w:t>tr</w:t>
      </w:r>
      <w:r w:rsidR="00751658">
        <w:rPr>
          <w:sz w:val="22"/>
          <w:szCs w:val="22"/>
        </w:rPr>
        <w:t>ategy</w:t>
      </w:r>
      <w:r w:rsidR="00BC2DA9">
        <w:rPr>
          <w:sz w:val="22"/>
          <w:szCs w:val="22"/>
        </w:rPr>
        <w:t>, and detailed consultation on a nee</w:t>
      </w:r>
      <w:r w:rsidR="005E6F7A">
        <w:rPr>
          <w:sz w:val="22"/>
          <w:szCs w:val="22"/>
        </w:rPr>
        <w:t xml:space="preserve">ds assessment, </w:t>
      </w:r>
      <w:r>
        <w:rPr>
          <w:sz w:val="22"/>
          <w:szCs w:val="22"/>
        </w:rPr>
        <w:t>the draft Strategy</w:t>
      </w:r>
      <w:r w:rsidR="00751658">
        <w:rPr>
          <w:sz w:val="22"/>
          <w:szCs w:val="22"/>
        </w:rPr>
        <w:t xml:space="preserve">, </w:t>
      </w:r>
      <w:r>
        <w:rPr>
          <w:sz w:val="22"/>
          <w:szCs w:val="22"/>
        </w:rPr>
        <w:t>costings for the draft Strategy</w:t>
      </w:r>
      <w:r w:rsidR="00751658">
        <w:rPr>
          <w:sz w:val="22"/>
          <w:szCs w:val="22"/>
        </w:rPr>
        <w:t xml:space="preserve">, and </w:t>
      </w:r>
      <w:r>
        <w:rPr>
          <w:sz w:val="22"/>
          <w:szCs w:val="22"/>
        </w:rPr>
        <w:t>estimated</w:t>
      </w:r>
      <w:r w:rsidR="00751658">
        <w:rPr>
          <w:sz w:val="22"/>
          <w:szCs w:val="22"/>
        </w:rPr>
        <w:t xml:space="preserve"> levy rates. </w:t>
      </w:r>
      <w:r>
        <w:rPr>
          <w:sz w:val="22"/>
          <w:szCs w:val="22"/>
        </w:rPr>
        <w:t xml:space="preserve"> </w:t>
      </w:r>
      <w:r w:rsidR="0038037B">
        <w:rPr>
          <w:sz w:val="22"/>
          <w:szCs w:val="22"/>
        </w:rPr>
        <w:t>As required by the Act, t</w:t>
      </w:r>
      <w:r w:rsidR="00751658">
        <w:rPr>
          <w:sz w:val="22"/>
          <w:szCs w:val="22"/>
        </w:rPr>
        <w:t xml:space="preserve">he Ministry will </w:t>
      </w:r>
      <w:r w:rsidR="0038037B">
        <w:rPr>
          <w:sz w:val="22"/>
          <w:szCs w:val="22"/>
        </w:rPr>
        <w:t>consult widely on its proposals</w:t>
      </w:r>
      <w:r w:rsidR="00751658">
        <w:rPr>
          <w:sz w:val="22"/>
          <w:szCs w:val="22"/>
        </w:rPr>
        <w:t xml:space="preserve"> before providing </w:t>
      </w:r>
      <w:r w:rsidR="0038037B">
        <w:rPr>
          <w:sz w:val="22"/>
          <w:szCs w:val="22"/>
        </w:rPr>
        <w:t>them</w:t>
      </w:r>
      <w:r w:rsidR="00751658">
        <w:rPr>
          <w:sz w:val="22"/>
          <w:szCs w:val="22"/>
        </w:rPr>
        <w:t xml:space="preserve"> to the Gambling Commission</w:t>
      </w:r>
      <w:r w:rsidR="0038037B">
        <w:rPr>
          <w:sz w:val="22"/>
          <w:szCs w:val="22"/>
        </w:rPr>
        <w:t>.</w:t>
      </w:r>
      <w:r>
        <w:rPr>
          <w:sz w:val="22"/>
          <w:szCs w:val="22"/>
        </w:rPr>
        <w:t xml:space="preserve">  As it did in 2015</w:t>
      </w:r>
      <w:r w:rsidR="0038037B">
        <w:rPr>
          <w:sz w:val="22"/>
          <w:szCs w:val="22"/>
        </w:rPr>
        <w:t>,</w:t>
      </w:r>
      <w:r w:rsidR="00751658">
        <w:rPr>
          <w:sz w:val="22"/>
          <w:szCs w:val="22"/>
        </w:rPr>
        <w:t xml:space="preserve"> the Commission </w:t>
      </w:r>
      <w:r w:rsidR="0038037B">
        <w:rPr>
          <w:sz w:val="22"/>
          <w:szCs w:val="22"/>
        </w:rPr>
        <w:t xml:space="preserve">will again </w:t>
      </w:r>
      <w:r w:rsidR="00751658">
        <w:rPr>
          <w:sz w:val="22"/>
          <w:szCs w:val="22"/>
        </w:rPr>
        <w:t xml:space="preserve">undertake its own analysis </w:t>
      </w:r>
      <w:r w:rsidR="0038037B">
        <w:rPr>
          <w:sz w:val="22"/>
          <w:szCs w:val="22"/>
        </w:rPr>
        <w:t xml:space="preserve">and consultation, </w:t>
      </w:r>
      <w:r w:rsidR="005776B9">
        <w:rPr>
          <w:sz w:val="22"/>
          <w:szCs w:val="22"/>
        </w:rPr>
        <w:t>and provide</w:t>
      </w:r>
      <w:r w:rsidR="0038037B">
        <w:rPr>
          <w:sz w:val="22"/>
          <w:szCs w:val="22"/>
        </w:rPr>
        <w:t xml:space="preserve"> independent recommendations to Ministers. </w:t>
      </w:r>
    </w:p>
    <w:p w:rsidR="00F75CF9" w:rsidRDefault="00F75CF9" w:rsidP="007771CB">
      <w:pPr>
        <w:rPr>
          <w:sz w:val="22"/>
          <w:szCs w:val="22"/>
        </w:rPr>
      </w:pPr>
    </w:p>
    <w:p w:rsidR="00F75CF9" w:rsidRDefault="00F75CF9" w:rsidP="007771CB">
      <w:pPr>
        <w:numPr>
          <w:ilvl w:val="0"/>
          <w:numId w:val="41"/>
        </w:numPr>
        <w:ind w:left="567" w:hanging="567"/>
        <w:rPr>
          <w:sz w:val="22"/>
          <w:szCs w:val="22"/>
        </w:rPr>
      </w:pPr>
      <w:r>
        <w:rPr>
          <w:sz w:val="22"/>
          <w:szCs w:val="22"/>
        </w:rPr>
        <w:t xml:space="preserve">In the meantime, the Ministry will continue monitoring and evaluating the services </w:t>
      </w:r>
      <w:r w:rsidR="0038037B">
        <w:rPr>
          <w:sz w:val="22"/>
          <w:szCs w:val="22"/>
        </w:rPr>
        <w:t xml:space="preserve">it purchases </w:t>
      </w:r>
      <w:r>
        <w:rPr>
          <w:sz w:val="22"/>
          <w:szCs w:val="22"/>
        </w:rPr>
        <w:t>and the effectiveness of the strategy by:</w:t>
      </w:r>
    </w:p>
    <w:p w:rsidR="00F75CF9" w:rsidRDefault="00F75CF9" w:rsidP="00F75CF9">
      <w:pPr>
        <w:numPr>
          <w:ilvl w:val="0"/>
          <w:numId w:val="13"/>
        </w:numPr>
        <w:spacing w:before="120"/>
        <w:ind w:left="993" w:hanging="426"/>
        <w:rPr>
          <w:sz w:val="22"/>
          <w:szCs w:val="22"/>
        </w:rPr>
      </w:pPr>
      <w:r>
        <w:rPr>
          <w:sz w:val="22"/>
          <w:szCs w:val="22"/>
        </w:rPr>
        <w:t>continuing its standard contract management processes, including monthly data collection, six-monthly reporting, routine audits, and verification visits</w:t>
      </w:r>
    </w:p>
    <w:p w:rsidR="00086956" w:rsidRDefault="00F75CF9" w:rsidP="00F75CF9">
      <w:pPr>
        <w:numPr>
          <w:ilvl w:val="0"/>
          <w:numId w:val="13"/>
        </w:numPr>
        <w:spacing w:before="120"/>
        <w:ind w:left="993" w:hanging="426"/>
        <w:rPr>
          <w:sz w:val="22"/>
          <w:szCs w:val="22"/>
        </w:rPr>
      </w:pPr>
      <w:r>
        <w:rPr>
          <w:sz w:val="22"/>
          <w:szCs w:val="22"/>
        </w:rPr>
        <w:t>continuing its research and evaluation programme</w:t>
      </w:r>
      <w:r w:rsidR="00F26DE4">
        <w:rPr>
          <w:sz w:val="22"/>
          <w:szCs w:val="22"/>
        </w:rPr>
        <w:t xml:space="preserve">, </w:t>
      </w:r>
      <w:r w:rsidR="00F26DE4" w:rsidRPr="000C1D32">
        <w:rPr>
          <w:sz w:val="22"/>
          <w:szCs w:val="22"/>
        </w:rPr>
        <w:t xml:space="preserve">including evaluations </w:t>
      </w:r>
      <w:r w:rsidR="00F26DE4">
        <w:rPr>
          <w:sz w:val="22"/>
          <w:szCs w:val="22"/>
        </w:rPr>
        <w:t xml:space="preserve">of both public health and intervention service delivery, </w:t>
      </w:r>
      <w:r w:rsidR="00F26DE4" w:rsidRPr="000C1D32">
        <w:rPr>
          <w:sz w:val="22"/>
          <w:szCs w:val="22"/>
        </w:rPr>
        <w:t xml:space="preserve">the national gambling study, </w:t>
      </w:r>
      <w:r w:rsidR="00F26DE4">
        <w:rPr>
          <w:sz w:val="22"/>
          <w:szCs w:val="22"/>
        </w:rPr>
        <w:t xml:space="preserve">clinical trials of telephone and face-to-face interventions, </w:t>
      </w:r>
      <w:r w:rsidR="00F26DE4" w:rsidRPr="000C1D32">
        <w:rPr>
          <w:sz w:val="22"/>
          <w:szCs w:val="22"/>
        </w:rPr>
        <w:t>longitudi</w:t>
      </w:r>
      <w:r w:rsidR="00F26DE4">
        <w:rPr>
          <w:sz w:val="22"/>
          <w:szCs w:val="22"/>
        </w:rPr>
        <w:t>nal studies, and an</w:t>
      </w:r>
      <w:r w:rsidR="00F26DE4" w:rsidRPr="000C1D32">
        <w:rPr>
          <w:sz w:val="22"/>
          <w:szCs w:val="22"/>
        </w:rPr>
        <w:t xml:space="preserve"> outcomes monitoring and reporting project</w:t>
      </w:r>
      <w:r w:rsidR="00F26DE4">
        <w:rPr>
          <w:sz w:val="22"/>
          <w:szCs w:val="22"/>
        </w:rPr>
        <w:t>.</w:t>
      </w:r>
    </w:p>
    <w:p w:rsidR="009F2D15" w:rsidRPr="00B77D78" w:rsidRDefault="000C7147" w:rsidP="00D073A4">
      <w:pPr>
        <w:pStyle w:val="Heading1"/>
        <w:ind w:left="0" w:firstLine="0"/>
      </w:pPr>
      <w:bookmarkStart w:id="66" w:name="_Toc259613886"/>
      <w:bookmarkEnd w:id="65"/>
      <w:r>
        <w:br w:type="page"/>
      </w:r>
      <w:bookmarkStart w:id="67" w:name="_Toc259613887"/>
      <w:bookmarkStart w:id="68" w:name="_Toc440029235"/>
      <w:bookmarkEnd w:id="66"/>
      <w:r w:rsidR="009F2D15" w:rsidRPr="00B77D78">
        <w:lastRenderedPageBreak/>
        <w:t>References</w:t>
      </w:r>
      <w:bookmarkEnd w:id="67"/>
      <w:bookmarkEnd w:id="68"/>
    </w:p>
    <w:p w:rsidR="00CE4786" w:rsidRPr="005C6828" w:rsidRDefault="00CE4786" w:rsidP="00CE4786">
      <w:pPr>
        <w:pStyle w:val="References"/>
        <w:spacing w:after="120"/>
      </w:pPr>
      <w:r>
        <w:t>Abbott M, Volberg R</w:t>
      </w:r>
      <w:r w:rsidRPr="005C6828">
        <w:t xml:space="preserve">. 1991. </w:t>
      </w:r>
      <w:r w:rsidRPr="005C6828">
        <w:rPr>
          <w:i/>
          <w:iCs/>
        </w:rPr>
        <w:t>Gambling and Problem Gambling in New Zealand</w:t>
      </w:r>
      <w:r w:rsidRPr="005C6828">
        <w:rPr>
          <w:iCs/>
        </w:rPr>
        <w:t>.</w:t>
      </w:r>
      <w:r w:rsidRPr="005C6828">
        <w:rPr>
          <w:i/>
          <w:iCs/>
        </w:rPr>
        <w:t xml:space="preserve"> </w:t>
      </w:r>
      <w:r w:rsidRPr="005C6828">
        <w:t>Research Series No.12. Wellington: Department of Internal Affairs.</w:t>
      </w:r>
    </w:p>
    <w:p w:rsidR="00660727" w:rsidRPr="00B77D78" w:rsidRDefault="00660727" w:rsidP="00CE4786">
      <w:pPr>
        <w:pStyle w:val="References"/>
        <w:spacing w:after="120"/>
        <w:rPr>
          <w:bCs/>
        </w:rPr>
      </w:pPr>
      <w:r w:rsidRPr="00B77D78">
        <w:rPr>
          <w:bCs/>
        </w:rPr>
        <w:t>Abbott M, Volberg R</w:t>
      </w:r>
      <w:r>
        <w:rPr>
          <w:bCs/>
        </w:rPr>
        <w:t xml:space="preserve">.  </w:t>
      </w:r>
      <w:r w:rsidRPr="00B77D78">
        <w:t>2000</w:t>
      </w:r>
      <w:r>
        <w:t xml:space="preserve">.  </w:t>
      </w:r>
      <w:r w:rsidRPr="00B77D78">
        <w:rPr>
          <w:i/>
        </w:rPr>
        <w:t xml:space="preserve">Taking the Pulse on Gambling and Problem </w:t>
      </w:r>
      <w:r>
        <w:rPr>
          <w:i/>
        </w:rPr>
        <w:t>Gambling in New Zealand: Phase O</w:t>
      </w:r>
      <w:r w:rsidRPr="00B77D78">
        <w:rPr>
          <w:i/>
        </w:rPr>
        <w:t>ne of the 1999 National Prevalence Survey</w:t>
      </w:r>
      <w:r>
        <w:t>, R</w:t>
      </w:r>
      <w:r w:rsidRPr="00B77D78">
        <w:t xml:space="preserve">eport </w:t>
      </w:r>
      <w:r>
        <w:t>Number Three</w:t>
      </w:r>
      <w:r w:rsidRPr="00B77D78">
        <w:t xml:space="preserve"> of the New Zealand Gaming Survey</w:t>
      </w:r>
      <w:r>
        <w:t xml:space="preserve">.  </w:t>
      </w:r>
      <w:smartTag w:uri="urn:schemas-microsoft-com:office:smarttags" w:element="City">
        <w:smartTag w:uri="urn:schemas-microsoft-com:office:smarttags" w:element="place">
          <w:r w:rsidRPr="00B77D78">
            <w:rPr>
              <w:bCs/>
            </w:rPr>
            <w:t>Wellington</w:t>
          </w:r>
        </w:smartTag>
      </w:smartTag>
      <w:r w:rsidRPr="00B77D78">
        <w:rPr>
          <w:bCs/>
        </w:rPr>
        <w:t>: Department of Internal Affairs.</w:t>
      </w:r>
    </w:p>
    <w:p w:rsidR="00AE7E9B" w:rsidRPr="005C6828" w:rsidRDefault="00AE7E9B" w:rsidP="00AE7E9B">
      <w:pPr>
        <w:pStyle w:val="References"/>
      </w:pPr>
      <w:r w:rsidRPr="005C6828">
        <w:t xml:space="preserve">Abbott M, Bellringer M, Garrett N, </w:t>
      </w:r>
      <w:r>
        <w:t>et al</w:t>
      </w:r>
      <w:r w:rsidRPr="005C6828">
        <w:t xml:space="preserve">. 2014b. </w:t>
      </w:r>
      <w:r w:rsidRPr="005C6828">
        <w:rPr>
          <w:i/>
          <w:iCs/>
        </w:rPr>
        <w:t>New Zealand 2012 National Gambling Study: Gambling Harm and Problem Gambling: Report Number 2</w:t>
      </w:r>
      <w:r w:rsidRPr="005C6828">
        <w:rPr>
          <w:iCs/>
        </w:rPr>
        <w:t>.</w:t>
      </w:r>
      <w:r w:rsidRPr="005C6828">
        <w:rPr>
          <w:i/>
          <w:iCs/>
        </w:rPr>
        <w:t xml:space="preserve"> </w:t>
      </w:r>
      <w:r w:rsidRPr="005C6828">
        <w:t>Auckland: Gambling &amp; Addictions Research Centre, National Institute for Public Health &amp; Mental Health Research, AUT University.</w:t>
      </w:r>
    </w:p>
    <w:p w:rsidR="00CE4786" w:rsidRPr="005C6828" w:rsidRDefault="00CE4786" w:rsidP="00CE4786">
      <w:pPr>
        <w:pStyle w:val="References"/>
        <w:spacing w:after="120"/>
      </w:pPr>
      <w:r w:rsidRPr="005C6828">
        <w:t xml:space="preserve">Abbott M, Bellringer M, Garrett N, </w:t>
      </w:r>
      <w:r>
        <w:t>et al</w:t>
      </w:r>
      <w:r w:rsidRPr="005C6828">
        <w:t>. 2014</w:t>
      </w:r>
      <w:r>
        <w:t>c</w:t>
      </w:r>
      <w:r w:rsidRPr="005C6828">
        <w:t xml:space="preserve">. </w:t>
      </w:r>
      <w:r w:rsidRPr="005C6828">
        <w:rPr>
          <w:i/>
          <w:iCs/>
        </w:rPr>
        <w:t>New Zealand 2012 National Gambling Study: Overview and Gambling Participation: Report Number 1</w:t>
      </w:r>
      <w:r w:rsidRPr="005C6828">
        <w:rPr>
          <w:iCs/>
        </w:rPr>
        <w:t>.</w:t>
      </w:r>
      <w:r w:rsidRPr="005C6828">
        <w:t xml:space="preserve"> Auckland: Gambling &amp; Addictions Research Centre, National Institute for Public Health &amp; Mental Health Research, AUT University.</w:t>
      </w:r>
    </w:p>
    <w:p w:rsidR="006E4976" w:rsidRPr="006E4976" w:rsidRDefault="006E4976" w:rsidP="00CE4786">
      <w:pPr>
        <w:pStyle w:val="References"/>
        <w:spacing w:after="120"/>
        <w:rPr>
          <w:bCs/>
        </w:rPr>
      </w:pPr>
      <w:r w:rsidRPr="006E4976">
        <w:rPr>
          <w:bCs/>
        </w:rPr>
        <w:t xml:space="preserve">Allen and Clarke Policy and </w:t>
      </w:r>
      <w:r w:rsidR="009755F7">
        <w:rPr>
          <w:bCs/>
        </w:rPr>
        <w:t>Regulatory Specialists Ltd, 2015</w:t>
      </w:r>
      <w:r w:rsidR="00F230DD">
        <w:rPr>
          <w:bCs/>
        </w:rPr>
        <w:t>a</w:t>
      </w:r>
      <w:r w:rsidRPr="006E4976">
        <w:rPr>
          <w:bCs/>
        </w:rPr>
        <w:t xml:space="preserve">. </w:t>
      </w:r>
      <w:r w:rsidRPr="006E4976">
        <w:rPr>
          <w:bCs/>
          <w:i/>
        </w:rPr>
        <w:t>Informing the 201</w:t>
      </w:r>
      <w:r w:rsidR="009755F7">
        <w:rPr>
          <w:bCs/>
          <w:i/>
        </w:rPr>
        <w:t>5</w:t>
      </w:r>
      <w:r w:rsidRPr="006E4976">
        <w:rPr>
          <w:bCs/>
          <w:i/>
        </w:rPr>
        <w:t xml:space="preserve"> Gambling Harm Needs Assessment: </w:t>
      </w:r>
      <w:r w:rsidR="009755F7">
        <w:rPr>
          <w:bCs/>
          <w:i/>
        </w:rPr>
        <w:t xml:space="preserve">Final </w:t>
      </w:r>
      <w:r w:rsidRPr="006E4976">
        <w:rPr>
          <w:bCs/>
          <w:i/>
        </w:rPr>
        <w:t>Report for the Ministry of Health</w:t>
      </w:r>
      <w:r w:rsidRPr="006E4976">
        <w:rPr>
          <w:bCs/>
        </w:rPr>
        <w:t>. Wellington: Allen and Clarke.</w:t>
      </w:r>
    </w:p>
    <w:p w:rsidR="00EA6281" w:rsidRPr="006E4976" w:rsidRDefault="00EA6281" w:rsidP="00CE4786">
      <w:pPr>
        <w:pStyle w:val="References"/>
        <w:spacing w:after="120"/>
        <w:rPr>
          <w:bCs/>
        </w:rPr>
      </w:pPr>
      <w:r w:rsidRPr="00D5540E">
        <w:rPr>
          <w:bCs/>
        </w:rPr>
        <w:t>Allen and Clarke Policy and Regulatory Specialists Ltd, 2015b.</w:t>
      </w:r>
      <w:r w:rsidRPr="00D5540E">
        <w:rPr>
          <w:bCs/>
          <w:i/>
        </w:rPr>
        <w:t>S</w:t>
      </w:r>
      <w:r w:rsidR="00D5540E" w:rsidRPr="00D5540E">
        <w:rPr>
          <w:bCs/>
          <w:i/>
        </w:rPr>
        <w:t>trategy to Prevent and Minimise Gambling Harm 2016/17 to 2018/19: S</w:t>
      </w:r>
      <w:r w:rsidRPr="00D5540E">
        <w:rPr>
          <w:bCs/>
          <w:i/>
        </w:rPr>
        <w:t xml:space="preserve">ubmissions Analysis </w:t>
      </w:r>
      <w:r w:rsidR="00D5540E" w:rsidRPr="00D5540E">
        <w:rPr>
          <w:bCs/>
          <w:i/>
        </w:rPr>
        <w:t>for the Ministry of Health</w:t>
      </w:r>
      <w:r w:rsidRPr="00D5540E">
        <w:rPr>
          <w:bCs/>
        </w:rPr>
        <w:t>. Wellington: Allen and Clarke.</w:t>
      </w:r>
    </w:p>
    <w:p w:rsidR="009F6987" w:rsidRDefault="009F6987" w:rsidP="009F6987">
      <w:pPr>
        <w:pStyle w:val="References"/>
      </w:pPr>
      <w:r w:rsidRPr="005C6828">
        <w:t>Dar</w:t>
      </w:r>
      <w:r>
        <w:t>b</w:t>
      </w:r>
      <w:r w:rsidRPr="005C6828">
        <w:t xml:space="preserve">yshire P, Oster C, Carrig H. 2001. The Experience of Pervasive Loss: Children and Young People Living in a Family Where Parental Gambling is a Problem. </w:t>
      </w:r>
      <w:r w:rsidRPr="005C6828">
        <w:rPr>
          <w:i/>
        </w:rPr>
        <w:t>Journal of Gambling Studies</w:t>
      </w:r>
      <w:r w:rsidRPr="005C6828">
        <w:t>, Vol</w:t>
      </w:r>
      <w:r>
        <w:t> </w:t>
      </w:r>
      <w:r w:rsidRPr="005C6828">
        <w:t>17(1).</w:t>
      </w:r>
    </w:p>
    <w:p w:rsidR="00860538" w:rsidRPr="00860538" w:rsidRDefault="00860538" w:rsidP="00CE4786">
      <w:pPr>
        <w:pStyle w:val="References"/>
        <w:spacing w:after="120"/>
      </w:pPr>
      <w:r>
        <w:t>Delfabbro P. 2012.</w:t>
      </w:r>
      <w:r w:rsidR="007C6DD1">
        <w:t xml:space="preserve"> </w:t>
      </w:r>
      <w:r>
        <w:t xml:space="preserve"> </w:t>
      </w:r>
      <w:r>
        <w:rPr>
          <w:i/>
        </w:rPr>
        <w:t>Australasian Gambling Review (5</w:t>
      </w:r>
      <w:r w:rsidRPr="00860538">
        <w:rPr>
          <w:i/>
          <w:vertAlign w:val="superscript"/>
        </w:rPr>
        <w:t>th</w:t>
      </w:r>
      <w:r>
        <w:rPr>
          <w:i/>
        </w:rPr>
        <w:t xml:space="preserve"> Edition, 1992 - 2011)</w:t>
      </w:r>
      <w:r>
        <w:t>. Adelaide: Independent Gambling Authority.</w:t>
      </w:r>
    </w:p>
    <w:p w:rsidR="009F2D15" w:rsidRPr="00B77D78" w:rsidRDefault="009F2D15" w:rsidP="00CE4786">
      <w:pPr>
        <w:pStyle w:val="References"/>
        <w:spacing w:after="120"/>
      </w:pPr>
      <w:r w:rsidRPr="00B77D78">
        <w:t>Department of Internal Affairs</w:t>
      </w:r>
      <w:r w:rsidR="000D42F2">
        <w:t xml:space="preserve">.  </w:t>
      </w:r>
      <w:r w:rsidRPr="00B77D78">
        <w:t>2008</w:t>
      </w:r>
      <w:r w:rsidR="000D42F2">
        <w:t xml:space="preserve">.  </w:t>
      </w:r>
      <w:r w:rsidRPr="00B77D78">
        <w:rPr>
          <w:i/>
        </w:rPr>
        <w:t>People</w:t>
      </w:r>
      <w:r w:rsidR="000D42F2">
        <w:rPr>
          <w:i/>
        </w:rPr>
        <w:t>’</w:t>
      </w:r>
      <w:r w:rsidRPr="00B77D78">
        <w:rPr>
          <w:i/>
        </w:rPr>
        <w:t>s Participation in, and Attitudes to, Gambling, 1985–2005</w:t>
      </w:r>
      <w:r w:rsidR="000D42F2">
        <w:t xml:space="preserve">.  </w:t>
      </w:r>
      <w:smartTag w:uri="urn:schemas-microsoft-com:office:smarttags" w:element="City">
        <w:smartTag w:uri="urn:schemas-microsoft-com:office:smarttags" w:element="place">
          <w:r w:rsidRPr="00B77D78">
            <w:t>Wellington</w:t>
          </w:r>
        </w:smartTag>
      </w:smartTag>
      <w:r w:rsidRPr="00B77D78">
        <w:t>: Department of Internal Affairs.</w:t>
      </w:r>
    </w:p>
    <w:p w:rsidR="009F2D15" w:rsidRPr="009C2B51" w:rsidRDefault="009F2D15" w:rsidP="00CE4786">
      <w:pPr>
        <w:pStyle w:val="References"/>
        <w:spacing w:after="120"/>
      </w:pPr>
      <w:r w:rsidRPr="009C2B51">
        <w:t>Gambling Commission</w:t>
      </w:r>
      <w:r w:rsidR="000D42F2">
        <w:t xml:space="preserve">.  </w:t>
      </w:r>
      <w:r w:rsidR="00BE72D4">
        <w:t>2015</w:t>
      </w:r>
      <w:r w:rsidR="000D42F2">
        <w:t xml:space="preserve">.  </w:t>
      </w:r>
      <w:r w:rsidRPr="009C2B51">
        <w:rPr>
          <w:i/>
        </w:rPr>
        <w:t>Report on the Proposed Problem Gambling Levy: 20</w:t>
      </w:r>
      <w:r w:rsidR="00BE72D4">
        <w:rPr>
          <w:i/>
        </w:rPr>
        <w:t>16</w:t>
      </w:r>
      <w:r w:rsidRPr="009C2B51">
        <w:rPr>
          <w:i/>
        </w:rPr>
        <w:t>–20</w:t>
      </w:r>
      <w:r w:rsidR="00BB7F36">
        <w:rPr>
          <w:i/>
        </w:rPr>
        <w:t>1</w:t>
      </w:r>
      <w:r w:rsidR="00BE72D4">
        <w:rPr>
          <w:i/>
        </w:rPr>
        <w:t>9</w:t>
      </w:r>
      <w:r w:rsidR="000D42F2">
        <w:t xml:space="preserve">.  </w:t>
      </w:r>
      <w:smartTag w:uri="urn:schemas-microsoft-com:office:smarttags" w:element="City">
        <w:smartTag w:uri="urn:schemas-microsoft-com:office:smarttags" w:element="place">
          <w:r w:rsidRPr="009C2B51">
            <w:t>Auckland</w:t>
          </w:r>
        </w:smartTag>
      </w:smartTag>
      <w:r w:rsidRPr="009C2B51">
        <w:t>: Gambling Commission</w:t>
      </w:r>
    </w:p>
    <w:p w:rsidR="004A2F24" w:rsidRDefault="004A2F24" w:rsidP="00CE4786">
      <w:pPr>
        <w:pStyle w:val="References"/>
        <w:spacing w:after="120"/>
      </w:pPr>
      <w:r w:rsidRPr="008576FE">
        <w:t>Ministry of Health</w:t>
      </w:r>
      <w:r w:rsidR="00F35C10">
        <w:t>.  2010</w:t>
      </w:r>
      <w:r>
        <w:rPr>
          <w:i/>
        </w:rPr>
        <w:t xml:space="preserve">  Preventing and Minimising Gambling Harm: Six-year strategic plan 2010/11</w:t>
      </w:r>
      <w:r>
        <w:rPr>
          <w:i/>
        </w:rPr>
        <w:noBreakHyphen/>
        <w:t>2015/16</w:t>
      </w:r>
      <w:r>
        <w:t>.</w:t>
      </w:r>
      <w:r w:rsidRPr="00A675DC">
        <w:t xml:space="preserve"> </w:t>
      </w:r>
      <w:r>
        <w:t xml:space="preserve"> </w:t>
      </w:r>
      <w:r w:rsidRPr="008576FE">
        <w:t>Wellington: Ministry of Health</w:t>
      </w:r>
      <w:r>
        <w:t>.</w:t>
      </w:r>
    </w:p>
    <w:p w:rsidR="004A2F24" w:rsidRDefault="004A2F24" w:rsidP="00CE4786">
      <w:pPr>
        <w:pStyle w:val="References"/>
        <w:spacing w:after="120"/>
      </w:pPr>
      <w:r w:rsidRPr="008576FE">
        <w:t>Ministry of Health</w:t>
      </w:r>
      <w:r w:rsidR="00F35C10">
        <w:t>.  2013</w:t>
      </w:r>
      <w:r>
        <w:rPr>
          <w:i/>
        </w:rPr>
        <w:t xml:space="preserve">  Preventing and Minimising Gambling Harm: Three-year service plan</w:t>
      </w:r>
      <w:r w:rsidR="00F35C10">
        <w:rPr>
          <w:i/>
        </w:rPr>
        <w:t xml:space="preserve"> and levy rates for 2013/14 to 2015/16.</w:t>
      </w:r>
      <w:r w:rsidR="00F35C10">
        <w:t xml:space="preserve"> </w:t>
      </w:r>
      <w:r w:rsidRPr="008576FE">
        <w:t>Wellington: Ministry of Health</w:t>
      </w:r>
      <w:r>
        <w:t>.</w:t>
      </w:r>
    </w:p>
    <w:p w:rsidR="00F230DD" w:rsidRDefault="00F230DD" w:rsidP="00CE4786">
      <w:pPr>
        <w:pStyle w:val="References"/>
        <w:spacing w:after="120"/>
      </w:pPr>
      <w:r w:rsidRPr="008576FE">
        <w:t>Ministry of Health</w:t>
      </w:r>
      <w:r>
        <w:t>.  201</w:t>
      </w:r>
      <w:r w:rsidR="009755F7">
        <w:t>5a</w:t>
      </w:r>
      <w:r>
        <w:rPr>
          <w:i/>
        </w:rPr>
        <w:t>.  Preventing and Minimising Gambling Harm: Consultation Document</w:t>
      </w:r>
      <w:r>
        <w:t xml:space="preserve">.  </w:t>
      </w:r>
      <w:smartTag w:uri="urn:schemas-microsoft-com:office:smarttags" w:element="City">
        <w:smartTag w:uri="urn:schemas-microsoft-com:office:smarttags" w:element="place">
          <w:r w:rsidRPr="008576FE">
            <w:t>Wellington</w:t>
          </w:r>
        </w:smartTag>
      </w:smartTag>
      <w:r w:rsidRPr="008576FE">
        <w:t>: Ministry of Health</w:t>
      </w:r>
      <w:r>
        <w:t>.</w:t>
      </w:r>
    </w:p>
    <w:p w:rsidR="00A675DC" w:rsidRDefault="00A675DC" w:rsidP="00CE4786">
      <w:pPr>
        <w:pStyle w:val="References"/>
        <w:spacing w:after="120"/>
      </w:pPr>
      <w:r w:rsidRPr="008576FE">
        <w:t>Ministry of Health</w:t>
      </w:r>
      <w:r>
        <w:t>.  201</w:t>
      </w:r>
      <w:r w:rsidR="009755F7">
        <w:t>5b</w:t>
      </w:r>
      <w:r>
        <w:rPr>
          <w:i/>
        </w:rPr>
        <w:t>.  Preventing and Minimising Gambling Harm 2013/14 to 2015/16: Ministry of Health’s Response to Issues Raised in the Submissions</w:t>
      </w:r>
      <w:r>
        <w:t>.</w:t>
      </w:r>
      <w:r w:rsidRPr="00A675DC">
        <w:t xml:space="preserve"> </w:t>
      </w:r>
      <w:r>
        <w:t xml:space="preserve"> </w:t>
      </w:r>
      <w:r w:rsidR="00AB0FBF" w:rsidRPr="00AB0FBF">
        <w:t>http://www.health.govt.nz/publication/preventing-and-minimising-gambling-harm-2013-14-2015-16-outcome-consultation</w:t>
      </w:r>
      <w:r>
        <w:t>.</w:t>
      </w:r>
    </w:p>
    <w:p w:rsidR="00A675DC" w:rsidRDefault="00A675DC" w:rsidP="00CE4786">
      <w:pPr>
        <w:pStyle w:val="References"/>
        <w:spacing w:after="120"/>
      </w:pPr>
      <w:r w:rsidRPr="008576FE">
        <w:t>Ministry of Health</w:t>
      </w:r>
      <w:r>
        <w:t>.  201</w:t>
      </w:r>
      <w:r w:rsidR="009755F7">
        <w:t>5c</w:t>
      </w:r>
      <w:r>
        <w:rPr>
          <w:i/>
        </w:rPr>
        <w:t xml:space="preserve">.  </w:t>
      </w:r>
      <w:r w:rsidR="0093264A" w:rsidRPr="008C498B">
        <w:t xml:space="preserve">Ministry of Health. 2015. </w:t>
      </w:r>
      <w:r w:rsidR="0093264A" w:rsidRPr="008C498B">
        <w:rPr>
          <w:i/>
        </w:rPr>
        <w:t xml:space="preserve">Strategy to Prevent and Minimise Gambling Harm 2016/17 to 2018/19: </w:t>
      </w:r>
      <w:r w:rsidR="0093264A">
        <w:rPr>
          <w:i/>
        </w:rPr>
        <w:t>Proposals</w:t>
      </w:r>
      <w:r w:rsidR="0093264A" w:rsidRPr="008C498B">
        <w:rPr>
          <w:i/>
        </w:rPr>
        <w:t xml:space="preserve"> document</w:t>
      </w:r>
      <w:r w:rsidR="0093264A" w:rsidRPr="008C498B">
        <w:t>. Wellington: Ministry of Health</w:t>
      </w:r>
      <w:r w:rsidR="0093264A">
        <w:t>.</w:t>
      </w:r>
    </w:p>
    <w:p w:rsidR="000D42F2" w:rsidRDefault="009F2D15" w:rsidP="00CE4786">
      <w:pPr>
        <w:pStyle w:val="References"/>
        <w:spacing w:after="120"/>
        <w:rPr>
          <w:lang w:eastAsia="en-US"/>
        </w:rPr>
      </w:pPr>
      <w:r w:rsidRPr="00B77D78">
        <w:rPr>
          <w:lang w:eastAsia="en-US"/>
        </w:rPr>
        <w:t>Productivity Commission</w:t>
      </w:r>
      <w:r w:rsidR="000D42F2">
        <w:rPr>
          <w:lang w:eastAsia="en-US"/>
        </w:rPr>
        <w:t xml:space="preserve">.  </w:t>
      </w:r>
      <w:r w:rsidRPr="00B77D78">
        <w:rPr>
          <w:lang w:eastAsia="en-US"/>
        </w:rPr>
        <w:t>1999</w:t>
      </w:r>
      <w:r w:rsidR="000D42F2">
        <w:rPr>
          <w:lang w:eastAsia="en-US"/>
        </w:rPr>
        <w:t xml:space="preserve">.  </w:t>
      </w:r>
      <w:smartTag w:uri="urn:schemas-microsoft-com:office:smarttags" w:element="country-region">
        <w:smartTag w:uri="urn:schemas-microsoft-com:office:smarttags" w:element="place">
          <w:r w:rsidRPr="00B77D78">
            <w:rPr>
              <w:i/>
              <w:iCs/>
              <w:lang w:eastAsia="en-US"/>
            </w:rPr>
            <w:t>Australia</w:t>
          </w:r>
        </w:smartTag>
      </w:smartTag>
      <w:r w:rsidR="000D42F2">
        <w:rPr>
          <w:i/>
          <w:iCs/>
          <w:lang w:eastAsia="en-US"/>
        </w:rPr>
        <w:t>’</w:t>
      </w:r>
      <w:r w:rsidRPr="00B77D78">
        <w:rPr>
          <w:i/>
          <w:iCs/>
          <w:lang w:eastAsia="en-US"/>
        </w:rPr>
        <w:t>s Gambling Industries: Inquiry report</w:t>
      </w:r>
      <w:r w:rsidRPr="00B77D78">
        <w:rPr>
          <w:lang w:eastAsia="en-US"/>
        </w:rPr>
        <w:t>, report no</w:t>
      </w:r>
      <w:r w:rsidR="000D42F2">
        <w:rPr>
          <w:lang w:eastAsia="en-US"/>
        </w:rPr>
        <w:t xml:space="preserve">. </w:t>
      </w:r>
      <w:r w:rsidRPr="00B77D78">
        <w:rPr>
          <w:lang w:eastAsia="en-US"/>
        </w:rPr>
        <w:t>10 (three volumes)</w:t>
      </w:r>
      <w:r w:rsidR="000D42F2">
        <w:rPr>
          <w:lang w:eastAsia="en-US"/>
        </w:rPr>
        <w:t xml:space="preserve">.  </w:t>
      </w:r>
      <w:smartTag w:uri="urn:schemas-microsoft-com:office:smarttags" w:element="City">
        <w:smartTag w:uri="urn:schemas-microsoft-com:office:smarttags" w:element="place">
          <w:r w:rsidRPr="00B77D78">
            <w:rPr>
              <w:lang w:eastAsia="en-US"/>
            </w:rPr>
            <w:t>Canberra</w:t>
          </w:r>
        </w:smartTag>
      </w:smartTag>
      <w:r w:rsidRPr="00B77D78">
        <w:rPr>
          <w:lang w:eastAsia="en-US"/>
        </w:rPr>
        <w:t>: AusInfo</w:t>
      </w:r>
      <w:r w:rsidR="000D42F2">
        <w:rPr>
          <w:lang w:eastAsia="en-US"/>
        </w:rPr>
        <w:t>.</w:t>
      </w:r>
    </w:p>
    <w:p w:rsidR="000D42F2" w:rsidRDefault="009F2D15" w:rsidP="00CE4786">
      <w:pPr>
        <w:pStyle w:val="References"/>
        <w:spacing w:after="120"/>
        <w:rPr>
          <w:lang w:eastAsia="en-US"/>
        </w:rPr>
      </w:pPr>
      <w:r w:rsidRPr="00B77D78">
        <w:rPr>
          <w:lang w:eastAsia="en-US"/>
        </w:rPr>
        <w:t>Productivity Commission</w:t>
      </w:r>
      <w:r w:rsidR="000D42F2">
        <w:rPr>
          <w:lang w:eastAsia="en-US"/>
        </w:rPr>
        <w:t xml:space="preserve">.  </w:t>
      </w:r>
      <w:r w:rsidRPr="00B77D78">
        <w:rPr>
          <w:lang w:eastAsia="en-US"/>
        </w:rPr>
        <w:t>20</w:t>
      </w:r>
      <w:r w:rsidR="00E54947">
        <w:rPr>
          <w:lang w:eastAsia="en-US"/>
        </w:rPr>
        <w:t>10</w:t>
      </w:r>
      <w:r w:rsidR="000D42F2">
        <w:rPr>
          <w:lang w:eastAsia="en-US"/>
        </w:rPr>
        <w:t xml:space="preserve">.  </w:t>
      </w:r>
      <w:r w:rsidRPr="00B77D78">
        <w:rPr>
          <w:i/>
          <w:iCs/>
          <w:lang w:eastAsia="en-US"/>
        </w:rPr>
        <w:t>Gambling:</w:t>
      </w:r>
      <w:r w:rsidRPr="00B77D78">
        <w:rPr>
          <w:i/>
          <w:lang w:eastAsia="en-US"/>
        </w:rPr>
        <w:t xml:space="preserve"> Productivity Commission </w:t>
      </w:r>
      <w:r w:rsidR="00E54947">
        <w:rPr>
          <w:i/>
          <w:lang w:eastAsia="en-US"/>
        </w:rPr>
        <w:t>Inquiry</w:t>
      </w:r>
      <w:r w:rsidRPr="00B77D78">
        <w:rPr>
          <w:i/>
          <w:lang w:eastAsia="en-US"/>
        </w:rPr>
        <w:t xml:space="preserve"> </w:t>
      </w:r>
      <w:r w:rsidR="00E54947">
        <w:rPr>
          <w:i/>
          <w:lang w:eastAsia="en-US"/>
        </w:rPr>
        <w:t>R</w:t>
      </w:r>
      <w:r w:rsidRPr="00B77D78">
        <w:rPr>
          <w:i/>
          <w:lang w:eastAsia="en-US"/>
        </w:rPr>
        <w:t>eport</w:t>
      </w:r>
      <w:r w:rsidR="000D42F2">
        <w:rPr>
          <w:lang w:eastAsia="en-US"/>
        </w:rPr>
        <w:t xml:space="preserve">.  </w:t>
      </w:r>
      <w:smartTag w:uri="urn:schemas-microsoft-com:office:smarttags" w:element="City">
        <w:smartTag w:uri="urn:schemas-microsoft-com:office:smarttags" w:element="place">
          <w:r w:rsidRPr="00B77D78">
            <w:rPr>
              <w:lang w:eastAsia="en-US"/>
            </w:rPr>
            <w:t>Canberra</w:t>
          </w:r>
        </w:smartTag>
      </w:smartTag>
      <w:r w:rsidRPr="00B77D78">
        <w:rPr>
          <w:lang w:eastAsia="en-US"/>
        </w:rPr>
        <w:t xml:space="preserve">: Commonwealth of </w:t>
      </w:r>
      <w:smartTag w:uri="urn:schemas-microsoft-com:office:smarttags" w:element="country-region">
        <w:smartTag w:uri="urn:schemas-microsoft-com:office:smarttags" w:element="place">
          <w:r w:rsidRPr="00B77D78">
            <w:rPr>
              <w:lang w:eastAsia="en-US"/>
            </w:rPr>
            <w:t>Australia</w:t>
          </w:r>
        </w:smartTag>
      </w:smartTag>
      <w:r w:rsidR="000D42F2">
        <w:rPr>
          <w:lang w:eastAsia="en-US"/>
        </w:rPr>
        <w:t>.</w:t>
      </w:r>
    </w:p>
    <w:p w:rsidR="006F2389" w:rsidRPr="005C6828" w:rsidRDefault="006F2389" w:rsidP="006F2389">
      <w:pPr>
        <w:pStyle w:val="References"/>
        <w:rPr>
          <w:b/>
        </w:rPr>
      </w:pPr>
      <w:r>
        <w:lastRenderedPageBreak/>
        <w:t>Rossen F. 2015</w:t>
      </w:r>
      <w:r w:rsidRPr="005C6828">
        <w:t xml:space="preserve">. </w:t>
      </w:r>
      <w:r w:rsidRPr="005C6828">
        <w:rPr>
          <w:i/>
          <w:iCs/>
        </w:rPr>
        <w:t>Gambling and Problem Gambling: Results of the 2011/12 New Zealand Health Survey</w:t>
      </w:r>
      <w:r w:rsidRPr="005C6828">
        <w:t>. Auckland: Auckland UniServices Ltd, Centre for Addiction Research, University of Auckland.</w:t>
      </w:r>
    </w:p>
    <w:p w:rsidR="009F6987" w:rsidRPr="005C6828" w:rsidRDefault="009F6987" w:rsidP="009F6987">
      <w:pPr>
        <w:pStyle w:val="References"/>
        <w:rPr>
          <w:szCs w:val="22"/>
        </w:rPr>
      </w:pPr>
      <w:r w:rsidRPr="005C6828">
        <w:rPr>
          <w:szCs w:val="22"/>
        </w:rPr>
        <w:t xml:space="preserve">Rossen F, Fleming T, Lucassen M, </w:t>
      </w:r>
      <w:r>
        <w:rPr>
          <w:szCs w:val="22"/>
        </w:rPr>
        <w:t>et al</w:t>
      </w:r>
      <w:r w:rsidRPr="005C6828">
        <w:rPr>
          <w:szCs w:val="22"/>
        </w:rPr>
        <w:t xml:space="preserve">. 2013. </w:t>
      </w:r>
      <w:r w:rsidRPr="005C6828">
        <w:rPr>
          <w:i/>
          <w:szCs w:val="22"/>
        </w:rPr>
        <w:t xml:space="preserve">The </w:t>
      </w:r>
      <w:r>
        <w:rPr>
          <w:i/>
          <w:szCs w:val="22"/>
        </w:rPr>
        <w:t>H</w:t>
      </w:r>
      <w:r w:rsidRPr="005C6828">
        <w:rPr>
          <w:i/>
          <w:szCs w:val="22"/>
        </w:rPr>
        <w:t xml:space="preserve">ealth and </w:t>
      </w:r>
      <w:r>
        <w:rPr>
          <w:i/>
          <w:szCs w:val="22"/>
        </w:rPr>
        <w:t>W</w:t>
      </w:r>
      <w:r w:rsidRPr="005C6828">
        <w:rPr>
          <w:i/>
          <w:szCs w:val="22"/>
        </w:rPr>
        <w:t xml:space="preserve">ellbeing of New Zealand </w:t>
      </w:r>
      <w:r>
        <w:rPr>
          <w:i/>
          <w:szCs w:val="22"/>
        </w:rPr>
        <w:t>S</w:t>
      </w:r>
      <w:r w:rsidRPr="005C6828">
        <w:rPr>
          <w:i/>
          <w:szCs w:val="22"/>
        </w:rPr>
        <w:t xml:space="preserve">econdary </w:t>
      </w:r>
      <w:r>
        <w:rPr>
          <w:i/>
          <w:szCs w:val="22"/>
        </w:rPr>
        <w:t>S</w:t>
      </w:r>
      <w:r w:rsidRPr="005C6828">
        <w:rPr>
          <w:i/>
          <w:szCs w:val="22"/>
        </w:rPr>
        <w:t xml:space="preserve">chool </w:t>
      </w:r>
      <w:r>
        <w:rPr>
          <w:i/>
          <w:szCs w:val="22"/>
        </w:rPr>
        <w:t>S</w:t>
      </w:r>
      <w:r w:rsidRPr="005C6828">
        <w:rPr>
          <w:i/>
          <w:szCs w:val="22"/>
        </w:rPr>
        <w:t>tudents in 2012: Youth gambling.</w:t>
      </w:r>
      <w:r w:rsidRPr="005C6828">
        <w:rPr>
          <w:szCs w:val="22"/>
        </w:rPr>
        <w:t xml:space="preserve"> Auckland: University of Auckland.</w:t>
      </w:r>
    </w:p>
    <w:p w:rsidR="00C86248" w:rsidRDefault="00944C82" w:rsidP="00CE4786">
      <w:pPr>
        <w:spacing w:after="120"/>
        <w:rPr>
          <w:bCs/>
          <w:color w:val="000000"/>
          <w:szCs w:val="24"/>
        </w:rPr>
      </w:pPr>
      <w:r>
        <w:rPr>
          <w:bCs/>
          <w:color w:val="000000"/>
          <w:szCs w:val="24"/>
        </w:rPr>
        <w:t>Sobrun-Maharaj A, Rossen F, Wong ASK</w:t>
      </w:r>
      <w:r w:rsidRPr="007A721D">
        <w:rPr>
          <w:bCs/>
          <w:color w:val="000000"/>
          <w:szCs w:val="24"/>
        </w:rPr>
        <w:t xml:space="preserve">.  </w:t>
      </w:r>
      <w:r w:rsidR="007A721D">
        <w:rPr>
          <w:bCs/>
          <w:color w:val="000000"/>
          <w:szCs w:val="24"/>
        </w:rPr>
        <w:t>2013</w:t>
      </w:r>
      <w:r>
        <w:rPr>
          <w:bCs/>
          <w:color w:val="000000"/>
          <w:szCs w:val="24"/>
        </w:rPr>
        <w:t xml:space="preserve">.  </w:t>
      </w:r>
      <w:r>
        <w:rPr>
          <w:bCs/>
          <w:i/>
          <w:color w:val="000000"/>
          <w:szCs w:val="24"/>
        </w:rPr>
        <w:t>The Impact of Gambling and Problem Gambling on Asian Families and Communities</w:t>
      </w:r>
      <w:r w:rsidRPr="00B77D78">
        <w:rPr>
          <w:bCs/>
          <w:i/>
          <w:color w:val="000000"/>
          <w:szCs w:val="24"/>
        </w:rPr>
        <w:t xml:space="preserve"> in New Zealand</w:t>
      </w:r>
      <w:r>
        <w:rPr>
          <w:bCs/>
          <w:color w:val="000000"/>
          <w:szCs w:val="24"/>
        </w:rPr>
        <w:t xml:space="preserve">.  </w:t>
      </w:r>
      <w:r w:rsidRPr="00B77D78">
        <w:rPr>
          <w:bCs/>
          <w:color w:val="000000"/>
          <w:szCs w:val="24"/>
        </w:rPr>
        <w:t xml:space="preserve">Auckland: </w:t>
      </w:r>
      <w:r>
        <w:rPr>
          <w:bCs/>
          <w:color w:val="000000"/>
          <w:szCs w:val="24"/>
        </w:rPr>
        <w:t>Auckland UniServices Ltd</w:t>
      </w:r>
      <w:r w:rsidRPr="00B77D78">
        <w:rPr>
          <w:bCs/>
          <w:color w:val="000000"/>
          <w:szCs w:val="24"/>
        </w:rPr>
        <w:t>.</w:t>
      </w:r>
    </w:p>
    <w:p w:rsidR="00CE4786" w:rsidRPr="005C6828" w:rsidRDefault="00CE4786" w:rsidP="00CE4786">
      <w:pPr>
        <w:pStyle w:val="References"/>
        <w:spacing w:after="120"/>
      </w:pPr>
      <w:r w:rsidRPr="005C6828">
        <w:t xml:space="preserve">Tu D, Puthipiroj P. In Press. </w:t>
      </w:r>
      <w:r w:rsidRPr="005C6828">
        <w:rPr>
          <w:i/>
        </w:rPr>
        <w:t>New Zealanders</w:t>
      </w:r>
      <w:r>
        <w:rPr>
          <w:i/>
        </w:rPr>
        <w:t>’</w:t>
      </w:r>
      <w:r w:rsidRPr="005C6828">
        <w:rPr>
          <w:i/>
        </w:rPr>
        <w:t xml:space="preserve"> Participation in Gambling: Results from the 2014 Health and Lifestyles Survey</w:t>
      </w:r>
      <w:r w:rsidRPr="005C6828">
        <w:t>. Wellington: Health Promotion Agency Research and Evaluation Unit.</w:t>
      </w:r>
    </w:p>
    <w:p w:rsidR="001C3CCB" w:rsidRPr="005C6828" w:rsidRDefault="001C3CCB" w:rsidP="001C3CCB">
      <w:pPr>
        <w:pStyle w:val="References"/>
      </w:pPr>
      <w:r w:rsidRPr="005C6828">
        <w:t>Watson K</w:t>
      </w:r>
      <w:r>
        <w:t>, Watson G. 200</w:t>
      </w:r>
      <w:r w:rsidRPr="005C6828">
        <w:t xml:space="preserve">4. The </w:t>
      </w:r>
      <w:r>
        <w:t>e</w:t>
      </w:r>
      <w:r w:rsidRPr="005C6828">
        <w:t xml:space="preserve">ffects of </w:t>
      </w:r>
      <w:r>
        <w:t>g</w:t>
      </w:r>
      <w:r w:rsidRPr="005C6828">
        <w:t xml:space="preserve">ambling on </w:t>
      </w:r>
      <w:r>
        <w:t>f</w:t>
      </w:r>
      <w:r w:rsidRPr="005C6828">
        <w:t xml:space="preserve">amily </w:t>
      </w:r>
      <w:r>
        <w:t>m</w:t>
      </w:r>
      <w:r w:rsidRPr="005C6828">
        <w:t xml:space="preserve">embers: </w:t>
      </w:r>
      <w:r>
        <w:t>s</w:t>
      </w:r>
      <w:r w:rsidRPr="005C6828">
        <w:t xml:space="preserve">uggestions for </w:t>
      </w:r>
      <w:r>
        <w:t>i</w:t>
      </w:r>
      <w:r w:rsidRPr="005C6828">
        <w:t>ntervention</w:t>
      </w:r>
      <w:r>
        <w:t>. I</w:t>
      </w:r>
      <w:r w:rsidRPr="005C6828">
        <w:t>n</w:t>
      </w:r>
      <w:r>
        <w:t>:</w:t>
      </w:r>
      <w:r w:rsidRPr="005C6828">
        <w:t xml:space="preserve"> Tan R</w:t>
      </w:r>
      <w:r>
        <w:t>,</w:t>
      </w:r>
      <w:r w:rsidRPr="005C6828">
        <w:t xml:space="preserve"> Wurtzburg S (</w:t>
      </w:r>
      <w:r>
        <w:t>e</w:t>
      </w:r>
      <w:r w:rsidRPr="005C6828">
        <w:t xml:space="preserve">ds) </w:t>
      </w:r>
      <w:r w:rsidRPr="005C6828">
        <w:rPr>
          <w:i/>
        </w:rPr>
        <w:t xml:space="preserve">Problem Gambling: New Zealand Perspectives on Treatment. </w:t>
      </w:r>
      <w:r w:rsidRPr="005C6828">
        <w:t>Wellington: Steele Roberts Ltd.</w:t>
      </w:r>
    </w:p>
    <w:p w:rsidR="00CE4786" w:rsidRDefault="00CE4786"/>
    <w:sectPr w:rsidR="00CE4786" w:rsidSect="00DE246C">
      <w:pgSz w:w="11907" w:h="16834" w:code="9"/>
      <w:pgMar w:top="1418" w:right="1134" w:bottom="1701" w:left="1418" w:header="0" w:footer="28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636" w:rsidRDefault="006D3636">
      <w:r>
        <w:separator/>
      </w:r>
    </w:p>
  </w:endnote>
  <w:endnote w:type="continuationSeparator" w:id="0">
    <w:p w:rsidR="006D3636" w:rsidRDefault="006D3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äori">
    <w:altName w:val="Arial"/>
    <w:panose1 w:val="020B0604020202020204"/>
    <w:charset w:val="00"/>
    <w:family w:val="swiss"/>
    <w:pitch w:val="variable"/>
    <w:sig w:usb0="20007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6D7" w:rsidRDefault="00EA16D7">
    <w:pPr>
      <w:pStyle w:val="VersoFooter"/>
      <w:rPr>
        <w:b w:val="0"/>
      </w:rPr>
    </w:pPr>
    <w:r>
      <w:rPr>
        <w:rStyle w:val="PageNumber"/>
      </w:rPr>
      <w:fldChar w:fldCharType="begin"/>
    </w:r>
    <w:r>
      <w:rPr>
        <w:rStyle w:val="PageNumber"/>
      </w:rPr>
      <w:instrText xml:space="preserve"> PAGE </w:instrText>
    </w:r>
    <w:r>
      <w:rPr>
        <w:rStyle w:val="PageNumber"/>
      </w:rPr>
      <w:fldChar w:fldCharType="separate"/>
    </w:r>
    <w:r>
      <w:rPr>
        <w:rStyle w:val="PageNumber"/>
        <w:noProof/>
      </w:rPr>
      <w:t>iv</w:t>
    </w:r>
    <w:r>
      <w:rPr>
        <w:rStyle w:val="PageNumber"/>
      </w:rPr>
      <w:fldChar w:fldCharType="end"/>
    </w:r>
    <w:r>
      <w:tab/>
      <w:t>Regulatory Impact Statement: Problem Gambling Levy for 2013/14 to 2015/16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6D7" w:rsidRPr="0092118E" w:rsidRDefault="00EA16D7">
    <w:pPr>
      <w:pStyle w:val="RectoFooter"/>
      <w:rPr>
        <w:sz w:val="22"/>
        <w:szCs w:val="22"/>
      </w:rPr>
    </w:pPr>
    <w:r w:rsidRPr="0092118E">
      <w:rPr>
        <w:sz w:val="22"/>
        <w:szCs w:val="22"/>
      </w:rPr>
      <w:t>Regulatory Impact Statement: Problem Gambling Levy for 2016/17 to 2018/19</w:t>
    </w:r>
    <w:r w:rsidRPr="0092118E">
      <w:rPr>
        <w:sz w:val="22"/>
        <w:szCs w:val="22"/>
      </w:rPr>
      <w:tab/>
    </w:r>
    <w:r w:rsidRPr="0092118E">
      <w:rPr>
        <w:rStyle w:val="PageNumber"/>
        <w:sz w:val="22"/>
        <w:szCs w:val="22"/>
      </w:rPr>
      <w:fldChar w:fldCharType="begin"/>
    </w:r>
    <w:r w:rsidRPr="0092118E">
      <w:rPr>
        <w:rStyle w:val="PageNumber"/>
        <w:sz w:val="22"/>
        <w:szCs w:val="22"/>
      </w:rPr>
      <w:instrText xml:space="preserve"> PAGE </w:instrText>
    </w:r>
    <w:r w:rsidRPr="0092118E">
      <w:rPr>
        <w:rStyle w:val="PageNumber"/>
        <w:sz w:val="22"/>
        <w:szCs w:val="22"/>
      </w:rPr>
      <w:fldChar w:fldCharType="separate"/>
    </w:r>
    <w:r w:rsidR="00740C7C">
      <w:rPr>
        <w:rStyle w:val="PageNumber"/>
        <w:noProof/>
        <w:sz w:val="22"/>
        <w:szCs w:val="22"/>
      </w:rPr>
      <w:t>i</w:t>
    </w:r>
    <w:r w:rsidRPr="0092118E">
      <w:rPr>
        <w:rStyle w:val="PageNumber"/>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636" w:rsidRDefault="006D3636"/>
  </w:footnote>
  <w:footnote w:type="continuationSeparator" w:id="0">
    <w:p w:rsidR="006D3636" w:rsidRDefault="006D3636">
      <w:r>
        <w:continuationSeparator/>
      </w:r>
    </w:p>
  </w:footnote>
  <w:footnote w:id="1">
    <w:p w:rsidR="00EA16D7" w:rsidRPr="001170CB" w:rsidRDefault="00EA16D7" w:rsidP="005E43A7">
      <w:pPr>
        <w:pStyle w:val="FootnoteText"/>
      </w:pPr>
      <w:r w:rsidRPr="00582DB0">
        <w:rPr>
          <w:rStyle w:val="FootnoteReference"/>
        </w:rPr>
        <w:footnoteRef/>
      </w:r>
      <w:r>
        <w:tab/>
        <w:t xml:space="preserve">A national study of </w:t>
      </w:r>
      <w:r w:rsidRPr="003E01C1">
        <w:t>gambling participation</w:t>
      </w:r>
      <w:r>
        <w:t xml:space="preserve">, gambling harm, </w:t>
      </w:r>
      <w:r w:rsidRPr="003E01C1">
        <w:t xml:space="preserve">problem gambling and </w:t>
      </w:r>
      <w:r>
        <w:t>attitudes towards gambling, with one-year and two-year follow-up components focusing on the incidence of problems related to gambling.</w:t>
      </w:r>
    </w:p>
  </w:footnote>
  <w:footnote w:id="2">
    <w:p w:rsidR="00E27FA6" w:rsidRPr="008400D3" w:rsidRDefault="00E27FA6" w:rsidP="00E27FA6">
      <w:pPr>
        <w:pStyle w:val="FootnoteText"/>
      </w:pPr>
      <w:r w:rsidRPr="00A72451">
        <w:rPr>
          <w:rStyle w:val="FootnoteReference"/>
        </w:rPr>
        <w:footnoteRef/>
      </w:r>
      <w:r>
        <w:rPr>
          <w:bCs/>
        </w:rPr>
        <w:tab/>
        <w:t>C</w:t>
      </w:r>
      <w:r w:rsidRPr="008400D3">
        <w:rPr>
          <w:bCs/>
        </w:rPr>
        <w:t xml:space="preserve">ontinuous </w:t>
      </w:r>
      <w:r w:rsidRPr="008400D3">
        <w:t xml:space="preserve">forms of gambling </w:t>
      </w:r>
      <w:r>
        <w:t>offer</w:t>
      </w:r>
      <w:r w:rsidRPr="008400D3">
        <w:t xml:space="preserve"> the opportunity for </w:t>
      </w:r>
      <w:r>
        <w:t xml:space="preserve">rapidly </w:t>
      </w:r>
      <w:r w:rsidRPr="008400D3">
        <w:t>repeated cycle</w:t>
      </w:r>
      <w:r>
        <w:t>s</w:t>
      </w:r>
      <w:r w:rsidRPr="008400D3">
        <w:t xml:space="preserve"> of </w:t>
      </w:r>
      <w:r>
        <w:t>risk</w:t>
      </w:r>
      <w:r w:rsidRPr="008400D3">
        <w:t xml:space="preserve">, </w:t>
      </w:r>
      <w:r>
        <w:t xml:space="preserve">result, </w:t>
      </w:r>
      <w:r w:rsidRPr="008400D3">
        <w:t>collect</w:t>
      </w:r>
      <w:r>
        <w:rPr>
          <w:lang w:val="en-NZ"/>
        </w:rPr>
        <w:t>,</w:t>
      </w:r>
      <w:r>
        <w:t xml:space="preserve"> and risk again</w:t>
      </w:r>
      <w:r w:rsidRPr="008400D3">
        <w:t>.</w:t>
      </w:r>
      <w:r>
        <w:t xml:space="preserve"> Examples of continuous forms of gambling include NCGMs, casino table games </w:t>
      </w:r>
      <w:r w:rsidRPr="008400D3">
        <w:t xml:space="preserve">and betting </w:t>
      </w:r>
      <w:r>
        <w:t xml:space="preserve">on </w:t>
      </w:r>
      <w:r w:rsidRPr="008400D3">
        <w:t>horse</w:t>
      </w:r>
      <w:r>
        <w:t xml:space="preserve"> or </w:t>
      </w:r>
      <w:r w:rsidRPr="008400D3">
        <w:t>dog race</w:t>
      </w:r>
      <w:r>
        <w:t>s.</w:t>
      </w:r>
    </w:p>
  </w:footnote>
  <w:footnote w:id="3">
    <w:p w:rsidR="00306FCA" w:rsidRDefault="00306FCA" w:rsidP="00306FCA">
      <w:pPr>
        <w:pStyle w:val="FootnoteText"/>
      </w:pPr>
      <w:r w:rsidRPr="0050433B">
        <w:rPr>
          <w:rStyle w:val="FootnoteReference"/>
        </w:rPr>
        <w:footnoteRef/>
      </w:r>
      <w:r>
        <w:tab/>
      </w:r>
      <w:hyperlink r:id="rId1" w:history="1">
        <w:r w:rsidRPr="003F50A1">
          <w:rPr>
            <w:rStyle w:val="Hyperlink"/>
          </w:rPr>
          <w:t>www.gamblingcommission.govt.nz/GCwebsite.nsf/wpg_URL/Reports-Publications-Proposed-Problem-Gambling-Levy-(November-2009)!OpenDocument</w:t>
        </w:r>
      </w:hyperlink>
      <w:r>
        <w:t xml:space="preserve"> (accessed 17 June 2015).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1">
    <w:nsid w:val="086B27D2"/>
    <w:multiLevelType w:val="hybridMultilevel"/>
    <w:tmpl w:val="D144AC22"/>
    <w:lvl w:ilvl="0" w:tplc="7C8C65A6">
      <w:start w:val="1"/>
      <w:numFmt w:val="decimal"/>
      <w:lvlText w:val="%1."/>
      <w:lvlJc w:val="left"/>
      <w:pPr>
        <w:tabs>
          <w:tab w:val="num" w:pos="567"/>
        </w:tabs>
        <w:ind w:left="567" w:hanging="567"/>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
    <w:nsid w:val="0C5723BF"/>
    <w:multiLevelType w:val="hybridMultilevel"/>
    <w:tmpl w:val="1FE646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0D8F673F"/>
    <w:multiLevelType w:val="multilevel"/>
    <w:tmpl w:val="BA8630E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45124D0"/>
    <w:multiLevelType w:val="hybridMultilevel"/>
    <w:tmpl w:val="A16C5D3A"/>
    <w:lvl w:ilvl="0" w:tplc="10B69B9A">
      <w:start w:val="1"/>
      <w:numFmt w:val="decimal"/>
      <w:lvlText w:val="%1."/>
      <w:lvlJc w:val="left"/>
      <w:pPr>
        <w:tabs>
          <w:tab w:val="num" w:pos="720"/>
        </w:tabs>
        <w:ind w:left="720" w:hanging="360"/>
      </w:pPr>
      <w:rPr>
        <w:b w:val="0"/>
      </w:rPr>
    </w:lvl>
    <w:lvl w:ilvl="1" w:tplc="08090019">
      <w:start w:val="1"/>
      <w:numFmt w:val="lowerLetter"/>
      <w:lvlText w:val="%2."/>
      <w:lvlJc w:val="left"/>
      <w:pPr>
        <w:tabs>
          <w:tab w:val="num" w:pos="1440"/>
        </w:tabs>
        <w:ind w:left="1440" w:hanging="360"/>
      </w:pPr>
    </w:lvl>
    <w:lvl w:ilvl="2" w:tplc="0809000F">
      <w:start w:val="1"/>
      <w:numFmt w:val="decimal"/>
      <w:lvlText w:val="%3."/>
      <w:lvlJc w:val="left"/>
      <w:pPr>
        <w:tabs>
          <w:tab w:val="num" w:pos="2340"/>
        </w:tabs>
        <w:ind w:left="2340" w:hanging="36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5">
    <w:nsid w:val="170300BE"/>
    <w:multiLevelType w:val="hybridMultilevel"/>
    <w:tmpl w:val="B50E8D5C"/>
    <w:lvl w:ilvl="0" w:tplc="CF069836">
      <w:start w:val="1"/>
      <w:numFmt w:val="decimal"/>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6">
    <w:nsid w:val="21B54CFA"/>
    <w:multiLevelType w:val="hybridMultilevel"/>
    <w:tmpl w:val="B4746D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299D3702"/>
    <w:multiLevelType w:val="hybridMultilevel"/>
    <w:tmpl w:val="F5F8C3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31AC5BCC"/>
    <w:multiLevelType w:val="multilevel"/>
    <w:tmpl w:val="B33C8C64"/>
    <w:lvl w:ilvl="0">
      <w:start w:val="1"/>
      <w:numFmt w:val="decimal"/>
      <w:pStyle w:val="CabStandard"/>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9">
    <w:nsid w:val="33A20A5F"/>
    <w:multiLevelType w:val="hybridMultilevel"/>
    <w:tmpl w:val="6A1E8F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38DE5A8D"/>
    <w:multiLevelType w:val="hybridMultilevel"/>
    <w:tmpl w:val="1BE440D0"/>
    <w:lvl w:ilvl="0" w:tplc="E2C8BEB8">
      <w:start w:val="1"/>
      <w:numFmt w:val="bullet"/>
      <w:pStyle w:val="CommentTex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C0D4F25"/>
    <w:multiLevelType w:val="hybridMultilevel"/>
    <w:tmpl w:val="2B1A0C22"/>
    <w:lvl w:ilvl="0" w:tplc="1409000F">
      <w:start w:val="1"/>
      <w:numFmt w:val="decimal"/>
      <w:lvlText w:val="%1."/>
      <w:lvlJc w:val="left"/>
      <w:pPr>
        <w:ind w:left="36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57A82147"/>
    <w:multiLevelType w:val="hybridMultilevel"/>
    <w:tmpl w:val="D6D2B84C"/>
    <w:lvl w:ilvl="0" w:tplc="59E4FACC">
      <w:numFmt w:val="bullet"/>
      <w:lvlText w:val="•"/>
      <w:lvlJc w:val="left"/>
      <w:pPr>
        <w:ind w:left="360" w:hanging="360"/>
      </w:pPr>
      <w:rPr>
        <w:rFonts w:ascii="Arial" w:eastAsia="Arial"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nsid w:val="5BB166B3"/>
    <w:multiLevelType w:val="hybridMultilevel"/>
    <w:tmpl w:val="74E61760"/>
    <w:lvl w:ilvl="0" w:tplc="1409000B">
      <w:start w:val="1"/>
      <w:numFmt w:val="bullet"/>
      <w:lvlText w:val=""/>
      <w:lvlJc w:val="left"/>
      <w:pPr>
        <w:ind w:left="644" w:hanging="360"/>
      </w:pPr>
      <w:rPr>
        <w:rFonts w:ascii="Wingdings" w:hAnsi="Wingdings" w:hint="default"/>
      </w:rPr>
    </w:lvl>
    <w:lvl w:ilvl="1" w:tplc="14090003">
      <w:start w:val="1"/>
      <w:numFmt w:val="bullet"/>
      <w:lvlText w:val="o"/>
      <w:lvlJc w:val="left"/>
      <w:pPr>
        <w:ind w:left="1364" w:hanging="360"/>
      </w:pPr>
      <w:rPr>
        <w:rFonts w:ascii="Courier New" w:hAnsi="Courier New" w:cs="Courier New" w:hint="default"/>
      </w:rPr>
    </w:lvl>
    <w:lvl w:ilvl="2" w:tplc="14090005" w:tentative="1">
      <w:start w:val="1"/>
      <w:numFmt w:val="bullet"/>
      <w:lvlText w:val=""/>
      <w:lvlJc w:val="left"/>
      <w:pPr>
        <w:ind w:left="2084" w:hanging="360"/>
      </w:pPr>
      <w:rPr>
        <w:rFonts w:ascii="Wingdings" w:hAnsi="Wingdings" w:hint="default"/>
      </w:rPr>
    </w:lvl>
    <w:lvl w:ilvl="3" w:tplc="14090001" w:tentative="1">
      <w:start w:val="1"/>
      <w:numFmt w:val="bullet"/>
      <w:lvlText w:val=""/>
      <w:lvlJc w:val="left"/>
      <w:pPr>
        <w:ind w:left="2804" w:hanging="360"/>
      </w:pPr>
      <w:rPr>
        <w:rFonts w:ascii="Symbol" w:hAnsi="Symbol" w:hint="default"/>
      </w:rPr>
    </w:lvl>
    <w:lvl w:ilvl="4" w:tplc="14090003" w:tentative="1">
      <w:start w:val="1"/>
      <w:numFmt w:val="bullet"/>
      <w:lvlText w:val="o"/>
      <w:lvlJc w:val="left"/>
      <w:pPr>
        <w:ind w:left="3524" w:hanging="360"/>
      </w:pPr>
      <w:rPr>
        <w:rFonts w:ascii="Courier New" w:hAnsi="Courier New" w:cs="Courier New" w:hint="default"/>
      </w:rPr>
    </w:lvl>
    <w:lvl w:ilvl="5" w:tplc="14090005" w:tentative="1">
      <w:start w:val="1"/>
      <w:numFmt w:val="bullet"/>
      <w:lvlText w:val=""/>
      <w:lvlJc w:val="left"/>
      <w:pPr>
        <w:ind w:left="4244" w:hanging="360"/>
      </w:pPr>
      <w:rPr>
        <w:rFonts w:ascii="Wingdings" w:hAnsi="Wingdings" w:hint="default"/>
      </w:rPr>
    </w:lvl>
    <w:lvl w:ilvl="6" w:tplc="14090001" w:tentative="1">
      <w:start w:val="1"/>
      <w:numFmt w:val="bullet"/>
      <w:lvlText w:val=""/>
      <w:lvlJc w:val="left"/>
      <w:pPr>
        <w:ind w:left="4964" w:hanging="360"/>
      </w:pPr>
      <w:rPr>
        <w:rFonts w:ascii="Symbol" w:hAnsi="Symbol" w:hint="default"/>
      </w:rPr>
    </w:lvl>
    <w:lvl w:ilvl="7" w:tplc="14090003" w:tentative="1">
      <w:start w:val="1"/>
      <w:numFmt w:val="bullet"/>
      <w:lvlText w:val="o"/>
      <w:lvlJc w:val="left"/>
      <w:pPr>
        <w:ind w:left="5684" w:hanging="360"/>
      </w:pPr>
      <w:rPr>
        <w:rFonts w:ascii="Courier New" w:hAnsi="Courier New" w:cs="Courier New" w:hint="default"/>
      </w:rPr>
    </w:lvl>
    <w:lvl w:ilvl="8" w:tplc="14090005" w:tentative="1">
      <w:start w:val="1"/>
      <w:numFmt w:val="bullet"/>
      <w:lvlText w:val=""/>
      <w:lvlJc w:val="left"/>
      <w:pPr>
        <w:ind w:left="6404" w:hanging="360"/>
      </w:pPr>
      <w:rPr>
        <w:rFonts w:ascii="Wingdings" w:hAnsi="Wingdings" w:hint="default"/>
      </w:rPr>
    </w:lvl>
  </w:abstractNum>
  <w:abstractNum w:abstractNumId="16">
    <w:nsid w:val="64A567D8"/>
    <w:multiLevelType w:val="hybridMultilevel"/>
    <w:tmpl w:val="2C06295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18">
    <w:nsid w:val="7C1218D3"/>
    <w:multiLevelType w:val="singleLevel"/>
    <w:tmpl w:val="5C9A0E66"/>
    <w:lvl w:ilvl="0">
      <w:start w:val="1"/>
      <w:numFmt w:val="bullet"/>
      <w:pStyle w:val="Bullet"/>
      <w:lvlText w:val=""/>
      <w:lvlJc w:val="left"/>
      <w:pPr>
        <w:tabs>
          <w:tab w:val="num" w:pos="360"/>
        </w:tabs>
        <w:ind w:left="284" w:hanging="284"/>
      </w:pPr>
      <w:rPr>
        <w:rFonts w:ascii="Symbol" w:hAnsi="Symbol" w:hint="default"/>
        <w:sz w:val="18"/>
      </w:rPr>
    </w:lvl>
  </w:abstractNum>
  <w:num w:numId="1">
    <w:abstractNumId w:val="18"/>
  </w:num>
  <w:num w:numId="2">
    <w:abstractNumId w:val="17"/>
  </w:num>
  <w:num w:numId="3">
    <w:abstractNumId w:val="11"/>
  </w:num>
  <w:num w:numId="4">
    <w:abstractNumId w:val="12"/>
  </w:num>
  <w:num w:numId="5">
    <w:abstractNumId w:val="0"/>
  </w:num>
  <w:num w:numId="6">
    <w:abstractNumId w:val="10"/>
  </w:num>
  <w:num w:numId="7">
    <w:abstractNumId w:val="9"/>
  </w:num>
  <w:num w:numId="8">
    <w:abstractNumId w:val="2"/>
  </w:num>
  <w:num w:numId="9">
    <w:abstractNumId w:val="18"/>
  </w:num>
  <w:num w:numId="10">
    <w:abstractNumId w:val="11"/>
  </w:num>
  <w:num w:numId="11">
    <w:abstractNumId w:val="18"/>
  </w:num>
  <w:num w:numId="12">
    <w:abstractNumId w:val="16"/>
  </w:num>
  <w:num w:numId="13">
    <w:abstractNumId w:val="6"/>
  </w:num>
  <w:num w:numId="14">
    <w:abstractNumId w:val="18"/>
  </w:num>
  <w:num w:numId="15">
    <w:abstractNumId w:val="18"/>
  </w:num>
  <w:num w:numId="16">
    <w:abstractNumId w:val="15"/>
  </w:num>
  <w:num w:numId="17">
    <w:abstractNumId w:val="18"/>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8"/>
  </w:num>
  <w:num w:numId="21">
    <w:abstractNumId w:val="18"/>
  </w:num>
  <w:num w:numId="22">
    <w:abstractNumId w:val="18"/>
  </w:num>
  <w:num w:numId="23">
    <w:abstractNumId w:val="18"/>
  </w:num>
  <w:num w:numId="24">
    <w:abstractNumId w:val="18"/>
  </w:num>
  <w:num w:numId="25">
    <w:abstractNumId w:val="18"/>
  </w:num>
  <w:num w:numId="26">
    <w:abstractNumId w:val="18"/>
  </w:num>
  <w:num w:numId="27">
    <w:abstractNumId w:val="18"/>
  </w:num>
  <w:num w:numId="28">
    <w:abstractNumId w:val="18"/>
  </w:num>
  <w:num w:numId="29">
    <w:abstractNumId w:val="18"/>
  </w:num>
  <w:num w:numId="30">
    <w:abstractNumId w:val="18"/>
  </w:num>
  <w:num w:numId="31">
    <w:abstractNumId w:val="18"/>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18"/>
  </w:num>
  <w:num w:numId="35">
    <w:abstractNumId w:val="18"/>
  </w:num>
  <w:num w:numId="36">
    <w:abstractNumId w:val="18"/>
  </w:num>
  <w:num w:numId="37">
    <w:abstractNumId w:val="7"/>
  </w:num>
  <w:num w:numId="38">
    <w:abstractNumId w:val="18"/>
  </w:num>
  <w:num w:numId="39">
    <w:abstractNumId w:val="18"/>
  </w:num>
  <w:num w:numId="40">
    <w:abstractNumId w:val="18"/>
  </w:num>
  <w:num w:numId="41">
    <w:abstractNumId w:val="13"/>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num>
  <w:num w:numId="44">
    <w:abstractNumId w:val="8"/>
  </w:num>
  <w:num w:numId="45">
    <w:abstractNumId w:val="5"/>
  </w:num>
  <w:num w:numId="46">
    <w:abstractNumId w:val="14"/>
  </w:num>
  <w:num w:numId="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8EB"/>
    <w:rsid w:val="00000595"/>
    <w:rsid w:val="00000FB1"/>
    <w:rsid w:val="00001765"/>
    <w:rsid w:val="00002617"/>
    <w:rsid w:val="000033E3"/>
    <w:rsid w:val="00003588"/>
    <w:rsid w:val="00003ABD"/>
    <w:rsid w:val="00005423"/>
    <w:rsid w:val="00007BD2"/>
    <w:rsid w:val="00011FDF"/>
    <w:rsid w:val="00012771"/>
    <w:rsid w:val="00012C14"/>
    <w:rsid w:val="00012D39"/>
    <w:rsid w:val="0001378D"/>
    <w:rsid w:val="000137C1"/>
    <w:rsid w:val="00015509"/>
    <w:rsid w:val="000163CE"/>
    <w:rsid w:val="00016A67"/>
    <w:rsid w:val="00021C4D"/>
    <w:rsid w:val="00022364"/>
    <w:rsid w:val="00025450"/>
    <w:rsid w:val="00025E0C"/>
    <w:rsid w:val="00026CF3"/>
    <w:rsid w:val="00031152"/>
    <w:rsid w:val="00032A68"/>
    <w:rsid w:val="00032AA7"/>
    <w:rsid w:val="00032C84"/>
    <w:rsid w:val="000357D1"/>
    <w:rsid w:val="00035952"/>
    <w:rsid w:val="00037021"/>
    <w:rsid w:val="000413D1"/>
    <w:rsid w:val="00043BB0"/>
    <w:rsid w:val="00043C45"/>
    <w:rsid w:val="00047016"/>
    <w:rsid w:val="00050029"/>
    <w:rsid w:val="00050E48"/>
    <w:rsid w:val="0005348A"/>
    <w:rsid w:val="0005519A"/>
    <w:rsid w:val="00057433"/>
    <w:rsid w:val="0006169E"/>
    <w:rsid w:val="00062ED7"/>
    <w:rsid w:val="0006362D"/>
    <w:rsid w:val="000642CC"/>
    <w:rsid w:val="00067696"/>
    <w:rsid w:val="00067FA9"/>
    <w:rsid w:val="00071D50"/>
    <w:rsid w:val="00074532"/>
    <w:rsid w:val="00075B78"/>
    <w:rsid w:val="000766B5"/>
    <w:rsid w:val="00077AFA"/>
    <w:rsid w:val="00077CBF"/>
    <w:rsid w:val="00081C80"/>
    <w:rsid w:val="00084685"/>
    <w:rsid w:val="0008483D"/>
    <w:rsid w:val="00085274"/>
    <w:rsid w:val="000859D3"/>
    <w:rsid w:val="00086878"/>
    <w:rsid w:val="00086956"/>
    <w:rsid w:val="00086CD8"/>
    <w:rsid w:val="0009012D"/>
    <w:rsid w:val="00090EEF"/>
    <w:rsid w:val="0009345E"/>
    <w:rsid w:val="00093A83"/>
    <w:rsid w:val="000954BF"/>
    <w:rsid w:val="00095994"/>
    <w:rsid w:val="00095AA3"/>
    <w:rsid w:val="0009632B"/>
    <w:rsid w:val="000A10A3"/>
    <w:rsid w:val="000A19FA"/>
    <w:rsid w:val="000A3F78"/>
    <w:rsid w:val="000A5948"/>
    <w:rsid w:val="000A6F72"/>
    <w:rsid w:val="000B2B3E"/>
    <w:rsid w:val="000B39E4"/>
    <w:rsid w:val="000B68AE"/>
    <w:rsid w:val="000B6B45"/>
    <w:rsid w:val="000B6C86"/>
    <w:rsid w:val="000B6D4E"/>
    <w:rsid w:val="000B708E"/>
    <w:rsid w:val="000B793F"/>
    <w:rsid w:val="000B7F2E"/>
    <w:rsid w:val="000C1D32"/>
    <w:rsid w:val="000C3370"/>
    <w:rsid w:val="000C3535"/>
    <w:rsid w:val="000C7147"/>
    <w:rsid w:val="000D128D"/>
    <w:rsid w:val="000D42F2"/>
    <w:rsid w:val="000D50BC"/>
    <w:rsid w:val="000D7E2A"/>
    <w:rsid w:val="000E24BD"/>
    <w:rsid w:val="000E354D"/>
    <w:rsid w:val="000E4F73"/>
    <w:rsid w:val="000E616D"/>
    <w:rsid w:val="000E61F0"/>
    <w:rsid w:val="000E6C8B"/>
    <w:rsid w:val="000F12EE"/>
    <w:rsid w:val="000F399B"/>
    <w:rsid w:val="000F5B5B"/>
    <w:rsid w:val="000F6401"/>
    <w:rsid w:val="000F6E29"/>
    <w:rsid w:val="000F7DDC"/>
    <w:rsid w:val="00101180"/>
    <w:rsid w:val="00101839"/>
    <w:rsid w:val="00102063"/>
    <w:rsid w:val="001027B6"/>
    <w:rsid w:val="00102F3A"/>
    <w:rsid w:val="00104961"/>
    <w:rsid w:val="0010541C"/>
    <w:rsid w:val="00106A49"/>
    <w:rsid w:val="00106C00"/>
    <w:rsid w:val="00111258"/>
    <w:rsid w:val="00113B8E"/>
    <w:rsid w:val="00115586"/>
    <w:rsid w:val="0012169B"/>
    <w:rsid w:val="00121A8F"/>
    <w:rsid w:val="00121B48"/>
    <w:rsid w:val="0012240C"/>
    <w:rsid w:val="00122848"/>
    <w:rsid w:val="001257CE"/>
    <w:rsid w:val="00126AA4"/>
    <w:rsid w:val="00130292"/>
    <w:rsid w:val="001320E3"/>
    <w:rsid w:val="00132AB9"/>
    <w:rsid w:val="00133A30"/>
    <w:rsid w:val="001367F7"/>
    <w:rsid w:val="00137057"/>
    <w:rsid w:val="00137821"/>
    <w:rsid w:val="00140368"/>
    <w:rsid w:val="00141A02"/>
    <w:rsid w:val="001421C9"/>
    <w:rsid w:val="0014245A"/>
    <w:rsid w:val="00144596"/>
    <w:rsid w:val="00144620"/>
    <w:rsid w:val="00147174"/>
    <w:rsid w:val="00147650"/>
    <w:rsid w:val="00147B66"/>
    <w:rsid w:val="00147EEB"/>
    <w:rsid w:val="00147F71"/>
    <w:rsid w:val="001500DB"/>
    <w:rsid w:val="00150AA8"/>
    <w:rsid w:val="00151EA1"/>
    <w:rsid w:val="0015231D"/>
    <w:rsid w:val="00153462"/>
    <w:rsid w:val="00154E17"/>
    <w:rsid w:val="00155250"/>
    <w:rsid w:val="00163972"/>
    <w:rsid w:val="001656B6"/>
    <w:rsid w:val="00166D98"/>
    <w:rsid w:val="00166FD3"/>
    <w:rsid w:val="00171D2C"/>
    <w:rsid w:val="001744CE"/>
    <w:rsid w:val="00174FE4"/>
    <w:rsid w:val="001756A3"/>
    <w:rsid w:val="00175D1B"/>
    <w:rsid w:val="00176010"/>
    <w:rsid w:val="001761DF"/>
    <w:rsid w:val="00176A23"/>
    <w:rsid w:val="00177D62"/>
    <w:rsid w:val="0018061F"/>
    <w:rsid w:val="00181019"/>
    <w:rsid w:val="001824AA"/>
    <w:rsid w:val="001846C6"/>
    <w:rsid w:val="0018579A"/>
    <w:rsid w:val="00185AA9"/>
    <w:rsid w:val="00186C28"/>
    <w:rsid w:val="0018742B"/>
    <w:rsid w:val="0019106A"/>
    <w:rsid w:val="00191863"/>
    <w:rsid w:val="00192743"/>
    <w:rsid w:val="00193EBA"/>
    <w:rsid w:val="00194C32"/>
    <w:rsid w:val="00196AFE"/>
    <w:rsid w:val="00197DA5"/>
    <w:rsid w:val="001A08C9"/>
    <w:rsid w:val="001A26AF"/>
    <w:rsid w:val="001A35B1"/>
    <w:rsid w:val="001A4418"/>
    <w:rsid w:val="001A57EC"/>
    <w:rsid w:val="001A59C0"/>
    <w:rsid w:val="001A60DE"/>
    <w:rsid w:val="001A68C4"/>
    <w:rsid w:val="001A771C"/>
    <w:rsid w:val="001B05A8"/>
    <w:rsid w:val="001B13CE"/>
    <w:rsid w:val="001B4EC7"/>
    <w:rsid w:val="001B5497"/>
    <w:rsid w:val="001B60D8"/>
    <w:rsid w:val="001B79EE"/>
    <w:rsid w:val="001C014D"/>
    <w:rsid w:val="001C08D8"/>
    <w:rsid w:val="001C0932"/>
    <w:rsid w:val="001C0951"/>
    <w:rsid w:val="001C17BE"/>
    <w:rsid w:val="001C1DE9"/>
    <w:rsid w:val="001C1E80"/>
    <w:rsid w:val="001C3669"/>
    <w:rsid w:val="001C3B12"/>
    <w:rsid w:val="001C3CCB"/>
    <w:rsid w:val="001C4650"/>
    <w:rsid w:val="001C7893"/>
    <w:rsid w:val="001D0981"/>
    <w:rsid w:val="001D0EB6"/>
    <w:rsid w:val="001D3428"/>
    <w:rsid w:val="001D5F5E"/>
    <w:rsid w:val="001E0628"/>
    <w:rsid w:val="001E2574"/>
    <w:rsid w:val="001E2E71"/>
    <w:rsid w:val="001E2FD3"/>
    <w:rsid w:val="001E3914"/>
    <w:rsid w:val="001E3E9F"/>
    <w:rsid w:val="001E7788"/>
    <w:rsid w:val="001F2481"/>
    <w:rsid w:val="001F301C"/>
    <w:rsid w:val="001F39C8"/>
    <w:rsid w:val="001F3D03"/>
    <w:rsid w:val="001F4145"/>
    <w:rsid w:val="001F4F13"/>
    <w:rsid w:val="0020088D"/>
    <w:rsid w:val="00202588"/>
    <w:rsid w:val="002036A4"/>
    <w:rsid w:val="00205408"/>
    <w:rsid w:val="00207FA4"/>
    <w:rsid w:val="002127C6"/>
    <w:rsid w:val="00212D43"/>
    <w:rsid w:val="0021370C"/>
    <w:rsid w:val="00213A22"/>
    <w:rsid w:val="00214C7A"/>
    <w:rsid w:val="0021507B"/>
    <w:rsid w:val="00217875"/>
    <w:rsid w:val="0022018F"/>
    <w:rsid w:val="002205C5"/>
    <w:rsid w:val="00223EF5"/>
    <w:rsid w:val="00226AB6"/>
    <w:rsid w:val="00227BC1"/>
    <w:rsid w:val="0023082A"/>
    <w:rsid w:val="00233CA6"/>
    <w:rsid w:val="00233F37"/>
    <w:rsid w:val="002348D0"/>
    <w:rsid w:val="00234E49"/>
    <w:rsid w:val="002354AE"/>
    <w:rsid w:val="00236AC0"/>
    <w:rsid w:val="0023710F"/>
    <w:rsid w:val="00237390"/>
    <w:rsid w:val="002400EF"/>
    <w:rsid w:val="002402EC"/>
    <w:rsid w:val="0024054A"/>
    <w:rsid w:val="002414A4"/>
    <w:rsid w:val="00241F26"/>
    <w:rsid w:val="002463B3"/>
    <w:rsid w:val="00246E41"/>
    <w:rsid w:val="00247FC7"/>
    <w:rsid w:val="00250D9A"/>
    <w:rsid w:val="002557F5"/>
    <w:rsid w:val="002562AD"/>
    <w:rsid w:val="002562F1"/>
    <w:rsid w:val="00256B36"/>
    <w:rsid w:val="0026269B"/>
    <w:rsid w:val="00262F5A"/>
    <w:rsid w:val="002630FC"/>
    <w:rsid w:val="00263787"/>
    <w:rsid w:val="00264DA9"/>
    <w:rsid w:val="00266ED5"/>
    <w:rsid w:val="0027064E"/>
    <w:rsid w:val="002729AB"/>
    <w:rsid w:val="00273D93"/>
    <w:rsid w:val="0027467C"/>
    <w:rsid w:val="002751FB"/>
    <w:rsid w:val="002753AB"/>
    <w:rsid w:val="00276597"/>
    <w:rsid w:val="00276AF9"/>
    <w:rsid w:val="0027720B"/>
    <w:rsid w:val="0028081A"/>
    <w:rsid w:val="00281599"/>
    <w:rsid w:val="00281B4F"/>
    <w:rsid w:val="00282949"/>
    <w:rsid w:val="002840AF"/>
    <w:rsid w:val="002844C0"/>
    <w:rsid w:val="00286A8C"/>
    <w:rsid w:val="00291E3A"/>
    <w:rsid w:val="00292451"/>
    <w:rsid w:val="00292C5A"/>
    <w:rsid w:val="0029627E"/>
    <w:rsid w:val="002A00D8"/>
    <w:rsid w:val="002A098A"/>
    <w:rsid w:val="002A09B1"/>
    <w:rsid w:val="002A2DDB"/>
    <w:rsid w:val="002A2E80"/>
    <w:rsid w:val="002A433B"/>
    <w:rsid w:val="002A53F3"/>
    <w:rsid w:val="002A6921"/>
    <w:rsid w:val="002B03F9"/>
    <w:rsid w:val="002B43A6"/>
    <w:rsid w:val="002B4ECE"/>
    <w:rsid w:val="002B50BB"/>
    <w:rsid w:val="002B64F7"/>
    <w:rsid w:val="002C29CE"/>
    <w:rsid w:val="002C3E5C"/>
    <w:rsid w:val="002C4C08"/>
    <w:rsid w:val="002C66AC"/>
    <w:rsid w:val="002C7E0E"/>
    <w:rsid w:val="002D0250"/>
    <w:rsid w:val="002D1FEC"/>
    <w:rsid w:val="002D3164"/>
    <w:rsid w:val="002D31B5"/>
    <w:rsid w:val="002D39BE"/>
    <w:rsid w:val="002D4128"/>
    <w:rsid w:val="002D7641"/>
    <w:rsid w:val="002E04C7"/>
    <w:rsid w:val="002E19CF"/>
    <w:rsid w:val="002E1E04"/>
    <w:rsid w:val="002E1E0D"/>
    <w:rsid w:val="002E36B2"/>
    <w:rsid w:val="002E3760"/>
    <w:rsid w:val="002E56F4"/>
    <w:rsid w:val="002E6D85"/>
    <w:rsid w:val="002F03D1"/>
    <w:rsid w:val="002F0FE5"/>
    <w:rsid w:val="002F3365"/>
    <w:rsid w:val="002F3625"/>
    <w:rsid w:val="002F4445"/>
    <w:rsid w:val="002F4F83"/>
    <w:rsid w:val="002F65FF"/>
    <w:rsid w:val="002F6D62"/>
    <w:rsid w:val="002F6F14"/>
    <w:rsid w:val="002F731A"/>
    <w:rsid w:val="00300DEB"/>
    <w:rsid w:val="00301544"/>
    <w:rsid w:val="00301CAA"/>
    <w:rsid w:val="00302A9B"/>
    <w:rsid w:val="003044C3"/>
    <w:rsid w:val="00306FCA"/>
    <w:rsid w:val="00307A43"/>
    <w:rsid w:val="00307BD6"/>
    <w:rsid w:val="003145CB"/>
    <w:rsid w:val="00314EB6"/>
    <w:rsid w:val="0031565C"/>
    <w:rsid w:val="00315F99"/>
    <w:rsid w:val="00321507"/>
    <w:rsid w:val="00323657"/>
    <w:rsid w:val="00323993"/>
    <w:rsid w:val="00324663"/>
    <w:rsid w:val="00326DDE"/>
    <w:rsid w:val="0033537B"/>
    <w:rsid w:val="0033558B"/>
    <w:rsid w:val="00341FED"/>
    <w:rsid w:val="003424A1"/>
    <w:rsid w:val="00343794"/>
    <w:rsid w:val="00344683"/>
    <w:rsid w:val="00344D39"/>
    <w:rsid w:val="00346A0A"/>
    <w:rsid w:val="003477EB"/>
    <w:rsid w:val="003511B5"/>
    <w:rsid w:val="00351266"/>
    <w:rsid w:val="003512AC"/>
    <w:rsid w:val="00351AA0"/>
    <w:rsid w:val="0035423B"/>
    <w:rsid w:val="00360283"/>
    <w:rsid w:val="00360508"/>
    <w:rsid w:val="0036073D"/>
    <w:rsid w:val="00361505"/>
    <w:rsid w:val="0036274A"/>
    <w:rsid w:val="00363780"/>
    <w:rsid w:val="003639C8"/>
    <w:rsid w:val="00365570"/>
    <w:rsid w:val="00365B15"/>
    <w:rsid w:val="00366A5D"/>
    <w:rsid w:val="00366CCE"/>
    <w:rsid w:val="0037059B"/>
    <w:rsid w:val="00370A89"/>
    <w:rsid w:val="00370AF6"/>
    <w:rsid w:val="00370EF2"/>
    <w:rsid w:val="003714CA"/>
    <w:rsid w:val="00372FEE"/>
    <w:rsid w:val="003730F9"/>
    <w:rsid w:val="0037446C"/>
    <w:rsid w:val="00374E21"/>
    <w:rsid w:val="00374F42"/>
    <w:rsid w:val="003762A4"/>
    <w:rsid w:val="003766D0"/>
    <w:rsid w:val="00376B9E"/>
    <w:rsid w:val="003775A4"/>
    <w:rsid w:val="0038037B"/>
    <w:rsid w:val="003817C3"/>
    <w:rsid w:val="00381FDD"/>
    <w:rsid w:val="003844A8"/>
    <w:rsid w:val="00385192"/>
    <w:rsid w:val="0038601E"/>
    <w:rsid w:val="00387C58"/>
    <w:rsid w:val="00391211"/>
    <w:rsid w:val="00391AD1"/>
    <w:rsid w:val="003925C3"/>
    <w:rsid w:val="003947F0"/>
    <w:rsid w:val="00394CB5"/>
    <w:rsid w:val="00395472"/>
    <w:rsid w:val="00395ADB"/>
    <w:rsid w:val="003976F2"/>
    <w:rsid w:val="00397839"/>
    <w:rsid w:val="003A03B1"/>
    <w:rsid w:val="003A130D"/>
    <w:rsid w:val="003A222B"/>
    <w:rsid w:val="003A30A1"/>
    <w:rsid w:val="003A3F3F"/>
    <w:rsid w:val="003A5060"/>
    <w:rsid w:val="003A5BB9"/>
    <w:rsid w:val="003A5FEA"/>
    <w:rsid w:val="003B20EE"/>
    <w:rsid w:val="003B26D2"/>
    <w:rsid w:val="003B2BFB"/>
    <w:rsid w:val="003B5047"/>
    <w:rsid w:val="003B6311"/>
    <w:rsid w:val="003B63AB"/>
    <w:rsid w:val="003B6F5B"/>
    <w:rsid w:val="003C2172"/>
    <w:rsid w:val="003C579E"/>
    <w:rsid w:val="003C5984"/>
    <w:rsid w:val="003C5CE2"/>
    <w:rsid w:val="003C610A"/>
    <w:rsid w:val="003C6ABE"/>
    <w:rsid w:val="003C6C94"/>
    <w:rsid w:val="003D102E"/>
    <w:rsid w:val="003D1044"/>
    <w:rsid w:val="003D4D87"/>
    <w:rsid w:val="003D5EED"/>
    <w:rsid w:val="003D6A32"/>
    <w:rsid w:val="003D6B27"/>
    <w:rsid w:val="003E079A"/>
    <w:rsid w:val="003E1BE7"/>
    <w:rsid w:val="003E2699"/>
    <w:rsid w:val="003E27E9"/>
    <w:rsid w:val="003E2D9F"/>
    <w:rsid w:val="003E3C67"/>
    <w:rsid w:val="003E53ED"/>
    <w:rsid w:val="003E58C9"/>
    <w:rsid w:val="003E678D"/>
    <w:rsid w:val="003E6CE5"/>
    <w:rsid w:val="003F119C"/>
    <w:rsid w:val="003F1464"/>
    <w:rsid w:val="003F2111"/>
    <w:rsid w:val="003F3D08"/>
    <w:rsid w:val="003F45F2"/>
    <w:rsid w:val="003F4C13"/>
    <w:rsid w:val="003F4DAC"/>
    <w:rsid w:val="003F54EF"/>
    <w:rsid w:val="003F5586"/>
    <w:rsid w:val="003F5712"/>
    <w:rsid w:val="003F597D"/>
    <w:rsid w:val="003F66B9"/>
    <w:rsid w:val="003F6AD1"/>
    <w:rsid w:val="003F79A0"/>
    <w:rsid w:val="003F7D47"/>
    <w:rsid w:val="003F7F97"/>
    <w:rsid w:val="004007EF"/>
    <w:rsid w:val="0040093B"/>
    <w:rsid w:val="004012A4"/>
    <w:rsid w:val="00401671"/>
    <w:rsid w:val="0040224B"/>
    <w:rsid w:val="004024FE"/>
    <w:rsid w:val="00402B3C"/>
    <w:rsid w:val="00402E47"/>
    <w:rsid w:val="004039A9"/>
    <w:rsid w:val="0040534C"/>
    <w:rsid w:val="00405F88"/>
    <w:rsid w:val="00406067"/>
    <w:rsid w:val="00406B91"/>
    <w:rsid w:val="004104D4"/>
    <w:rsid w:val="00410AC0"/>
    <w:rsid w:val="00411022"/>
    <w:rsid w:val="00411FB3"/>
    <w:rsid w:val="00412231"/>
    <w:rsid w:val="004126A0"/>
    <w:rsid w:val="00412C19"/>
    <w:rsid w:val="004131CA"/>
    <w:rsid w:val="004138FB"/>
    <w:rsid w:val="00414C7C"/>
    <w:rsid w:val="00415AE1"/>
    <w:rsid w:val="00415C66"/>
    <w:rsid w:val="004176C0"/>
    <w:rsid w:val="0042093C"/>
    <w:rsid w:val="00420B34"/>
    <w:rsid w:val="00421D2C"/>
    <w:rsid w:val="00422D75"/>
    <w:rsid w:val="004249B0"/>
    <w:rsid w:val="00426C8E"/>
    <w:rsid w:val="00427254"/>
    <w:rsid w:val="00431CCB"/>
    <w:rsid w:val="00433867"/>
    <w:rsid w:val="0043777E"/>
    <w:rsid w:val="00437BFB"/>
    <w:rsid w:val="0044120D"/>
    <w:rsid w:val="0044558E"/>
    <w:rsid w:val="00445C5C"/>
    <w:rsid w:val="0044629C"/>
    <w:rsid w:val="004462EF"/>
    <w:rsid w:val="004522E9"/>
    <w:rsid w:val="00454332"/>
    <w:rsid w:val="004547ED"/>
    <w:rsid w:val="004568B4"/>
    <w:rsid w:val="00457AE1"/>
    <w:rsid w:val="00460AEC"/>
    <w:rsid w:val="00461DC3"/>
    <w:rsid w:val="00462033"/>
    <w:rsid w:val="0046221D"/>
    <w:rsid w:val="00462B78"/>
    <w:rsid w:val="00463B74"/>
    <w:rsid w:val="00464496"/>
    <w:rsid w:val="0046596D"/>
    <w:rsid w:val="00465EAF"/>
    <w:rsid w:val="00466BE5"/>
    <w:rsid w:val="00466D58"/>
    <w:rsid w:val="00466DEB"/>
    <w:rsid w:val="00466E17"/>
    <w:rsid w:val="00467F23"/>
    <w:rsid w:val="00470207"/>
    <w:rsid w:val="00470BBA"/>
    <w:rsid w:val="00472F66"/>
    <w:rsid w:val="0047358B"/>
    <w:rsid w:val="0047541B"/>
    <w:rsid w:val="0047602C"/>
    <w:rsid w:val="00476744"/>
    <w:rsid w:val="0047691D"/>
    <w:rsid w:val="004779A4"/>
    <w:rsid w:val="0048070F"/>
    <w:rsid w:val="004824E9"/>
    <w:rsid w:val="00482938"/>
    <w:rsid w:val="00483C3C"/>
    <w:rsid w:val="00484E10"/>
    <w:rsid w:val="00486C9A"/>
    <w:rsid w:val="00491F76"/>
    <w:rsid w:val="004925A2"/>
    <w:rsid w:val="004931E5"/>
    <w:rsid w:val="00493DDC"/>
    <w:rsid w:val="004944E3"/>
    <w:rsid w:val="00496B20"/>
    <w:rsid w:val="00497D68"/>
    <w:rsid w:val="004A1492"/>
    <w:rsid w:val="004A2F24"/>
    <w:rsid w:val="004A33A2"/>
    <w:rsid w:val="004A4E12"/>
    <w:rsid w:val="004B0E36"/>
    <w:rsid w:val="004B0FD2"/>
    <w:rsid w:val="004B1800"/>
    <w:rsid w:val="004B18D5"/>
    <w:rsid w:val="004B1BDA"/>
    <w:rsid w:val="004B3BBE"/>
    <w:rsid w:val="004B4D01"/>
    <w:rsid w:val="004B7052"/>
    <w:rsid w:val="004B7ADF"/>
    <w:rsid w:val="004B7D89"/>
    <w:rsid w:val="004B7DEF"/>
    <w:rsid w:val="004C0870"/>
    <w:rsid w:val="004C14F6"/>
    <w:rsid w:val="004C16F8"/>
    <w:rsid w:val="004C17FB"/>
    <w:rsid w:val="004C2E19"/>
    <w:rsid w:val="004C31C6"/>
    <w:rsid w:val="004C7EFD"/>
    <w:rsid w:val="004D0F1F"/>
    <w:rsid w:val="004D15C5"/>
    <w:rsid w:val="004D15DB"/>
    <w:rsid w:val="004D19E8"/>
    <w:rsid w:val="004D24F7"/>
    <w:rsid w:val="004D27BB"/>
    <w:rsid w:val="004D3DC6"/>
    <w:rsid w:val="004D40B6"/>
    <w:rsid w:val="004D5938"/>
    <w:rsid w:val="004D5E7D"/>
    <w:rsid w:val="004D6EB0"/>
    <w:rsid w:val="004D7113"/>
    <w:rsid w:val="004D7BF5"/>
    <w:rsid w:val="004E16C9"/>
    <w:rsid w:val="004E317B"/>
    <w:rsid w:val="004E4D8D"/>
    <w:rsid w:val="004E563F"/>
    <w:rsid w:val="004E6EE0"/>
    <w:rsid w:val="004E79D3"/>
    <w:rsid w:val="004E7AC8"/>
    <w:rsid w:val="004E7C66"/>
    <w:rsid w:val="004E7D58"/>
    <w:rsid w:val="004F0380"/>
    <w:rsid w:val="004F5009"/>
    <w:rsid w:val="004F5058"/>
    <w:rsid w:val="004F602B"/>
    <w:rsid w:val="004F746A"/>
    <w:rsid w:val="004F79CD"/>
    <w:rsid w:val="004F7CCF"/>
    <w:rsid w:val="004F7D09"/>
    <w:rsid w:val="00500649"/>
    <w:rsid w:val="00503417"/>
    <w:rsid w:val="005043CF"/>
    <w:rsid w:val="0050635B"/>
    <w:rsid w:val="005102AE"/>
    <w:rsid w:val="00511D7A"/>
    <w:rsid w:val="00512228"/>
    <w:rsid w:val="00516005"/>
    <w:rsid w:val="00516010"/>
    <w:rsid w:val="00517CBD"/>
    <w:rsid w:val="0052205A"/>
    <w:rsid w:val="005221F1"/>
    <w:rsid w:val="00525EAE"/>
    <w:rsid w:val="00530CCD"/>
    <w:rsid w:val="00531100"/>
    <w:rsid w:val="0053277C"/>
    <w:rsid w:val="005328E8"/>
    <w:rsid w:val="00533A46"/>
    <w:rsid w:val="005343D1"/>
    <w:rsid w:val="0053514E"/>
    <w:rsid w:val="00535C67"/>
    <w:rsid w:val="005415FD"/>
    <w:rsid w:val="0054173C"/>
    <w:rsid w:val="005424FB"/>
    <w:rsid w:val="00543932"/>
    <w:rsid w:val="00543E39"/>
    <w:rsid w:val="00544B74"/>
    <w:rsid w:val="00545ECB"/>
    <w:rsid w:val="0055034F"/>
    <w:rsid w:val="005517E9"/>
    <w:rsid w:val="00553B7E"/>
    <w:rsid w:val="00554A2B"/>
    <w:rsid w:val="00554EE5"/>
    <w:rsid w:val="005561BD"/>
    <w:rsid w:val="00557D32"/>
    <w:rsid w:val="00560140"/>
    <w:rsid w:val="005623B3"/>
    <w:rsid w:val="00563854"/>
    <w:rsid w:val="0056557A"/>
    <w:rsid w:val="005661E1"/>
    <w:rsid w:val="00566BEF"/>
    <w:rsid w:val="005670A7"/>
    <w:rsid w:val="00567B97"/>
    <w:rsid w:val="0057088A"/>
    <w:rsid w:val="005714E0"/>
    <w:rsid w:val="00573409"/>
    <w:rsid w:val="0057376A"/>
    <w:rsid w:val="00575155"/>
    <w:rsid w:val="00575898"/>
    <w:rsid w:val="00575AB9"/>
    <w:rsid w:val="005761D6"/>
    <w:rsid w:val="00576BAF"/>
    <w:rsid w:val="0057765B"/>
    <w:rsid w:val="005776B9"/>
    <w:rsid w:val="00580543"/>
    <w:rsid w:val="00583A84"/>
    <w:rsid w:val="00586596"/>
    <w:rsid w:val="00586637"/>
    <w:rsid w:val="00591221"/>
    <w:rsid w:val="00593497"/>
    <w:rsid w:val="00593F7F"/>
    <w:rsid w:val="00594193"/>
    <w:rsid w:val="005941B4"/>
    <w:rsid w:val="00594421"/>
    <w:rsid w:val="005959DF"/>
    <w:rsid w:val="00596C44"/>
    <w:rsid w:val="0059771E"/>
    <w:rsid w:val="005A307E"/>
    <w:rsid w:val="005A3184"/>
    <w:rsid w:val="005A3497"/>
    <w:rsid w:val="005A40D7"/>
    <w:rsid w:val="005A437A"/>
    <w:rsid w:val="005A5589"/>
    <w:rsid w:val="005A619C"/>
    <w:rsid w:val="005A6EB8"/>
    <w:rsid w:val="005A7C17"/>
    <w:rsid w:val="005B0890"/>
    <w:rsid w:val="005B2622"/>
    <w:rsid w:val="005B2C10"/>
    <w:rsid w:val="005B3425"/>
    <w:rsid w:val="005B3C1E"/>
    <w:rsid w:val="005B526C"/>
    <w:rsid w:val="005B758A"/>
    <w:rsid w:val="005B7EDF"/>
    <w:rsid w:val="005C21B0"/>
    <w:rsid w:val="005C3BF4"/>
    <w:rsid w:val="005C44B2"/>
    <w:rsid w:val="005D1B3E"/>
    <w:rsid w:val="005D2234"/>
    <w:rsid w:val="005D2DCF"/>
    <w:rsid w:val="005D3484"/>
    <w:rsid w:val="005D3A45"/>
    <w:rsid w:val="005D4840"/>
    <w:rsid w:val="005D6350"/>
    <w:rsid w:val="005E11BD"/>
    <w:rsid w:val="005E1FFA"/>
    <w:rsid w:val="005E43A7"/>
    <w:rsid w:val="005E4D8B"/>
    <w:rsid w:val="005E5B2C"/>
    <w:rsid w:val="005E6F7A"/>
    <w:rsid w:val="005E7BD1"/>
    <w:rsid w:val="005E7C1A"/>
    <w:rsid w:val="005F1090"/>
    <w:rsid w:val="005F2B16"/>
    <w:rsid w:val="005F3025"/>
    <w:rsid w:val="005F4F1A"/>
    <w:rsid w:val="005F6DD7"/>
    <w:rsid w:val="00601853"/>
    <w:rsid w:val="00603A58"/>
    <w:rsid w:val="00604959"/>
    <w:rsid w:val="00604C88"/>
    <w:rsid w:val="006051EA"/>
    <w:rsid w:val="0060552B"/>
    <w:rsid w:val="00606C16"/>
    <w:rsid w:val="00607615"/>
    <w:rsid w:val="0061075D"/>
    <w:rsid w:val="0061161E"/>
    <w:rsid w:val="00613266"/>
    <w:rsid w:val="00614B90"/>
    <w:rsid w:val="00615343"/>
    <w:rsid w:val="00617140"/>
    <w:rsid w:val="00620BC8"/>
    <w:rsid w:val="00624DB3"/>
    <w:rsid w:val="0062505B"/>
    <w:rsid w:val="00625911"/>
    <w:rsid w:val="00625A12"/>
    <w:rsid w:val="00626956"/>
    <w:rsid w:val="00626EA5"/>
    <w:rsid w:val="00627DCF"/>
    <w:rsid w:val="00630889"/>
    <w:rsid w:val="006313D4"/>
    <w:rsid w:val="0063227D"/>
    <w:rsid w:val="006335E4"/>
    <w:rsid w:val="00633C9C"/>
    <w:rsid w:val="00634723"/>
    <w:rsid w:val="00635B4E"/>
    <w:rsid w:val="006377C3"/>
    <w:rsid w:val="00640D11"/>
    <w:rsid w:val="00640D1B"/>
    <w:rsid w:val="00642C62"/>
    <w:rsid w:val="00644B34"/>
    <w:rsid w:val="00645708"/>
    <w:rsid w:val="00645E4A"/>
    <w:rsid w:val="00647A36"/>
    <w:rsid w:val="006500D3"/>
    <w:rsid w:val="0065153D"/>
    <w:rsid w:val="006558EC"/>
    <w:rsid w:val="00656DBF"/>
    <w:rsid w:val="006577D5"/>
    <w:rsid w:val="006579E6"/>
    <w:rsid w:val="00660727"/>
    <w:rsid w:val="00660A54"/>
    <w:rsid w:val="006612EC"/>
    <w:rsid w:val="006618C5"/>
    <w:rsid w:val="0066352F"/>
    <w:rsid w:val="00664519"/>
    <w:rsid w:val="00664F81"/>
    <w:rsid w:val="006659A4"/>
    <w:rsid w:val="0066703F"/>
    <w:rsid w:val="006748C8"/>
    <w:rsid w:val="006749BA"/>
    <w:rsid w:val="00674C1C"/>
    <w:rsid w:val="00674C65"/>
    <w:rsid w:val="006753E6"/>
    <w:rsid w:val="00675C7E"/>
    <w:rsid w:val="00676282"/>
    <w:rsid w:val="006776CB"/>
    <w:rsid w:val="00677F3B"/>
    <w:rsid w:val="00680BF8"/>
    <w:rsid w:val="00683BA9"/>
    <w:rsid w:val="00684E1B"/>
    <w:rsid w:val="006865C9"/>
    <w:rsid w:val="00686A38"/>
    <w:rsid w:val="00690070"/>
    <w:rsid w:val="00693817"/>
    <w:rsid w:val="00694895"/>
    <w:rsid w:val="00694E18"/>
    <w:rsid w:val="0069597E"/>
    <w:rsid w:val="006A1905"/>
    <w:rsid w:val="006A19C7"/>
    <w:rsid w:val="006A214C"/>
    <w:rsid w:val="006A27CE"/>
    <w:rsid w:val="006A2B36"/>
    <w:rsid w:val="006A5BA3"/>
    <w:rsid w:val="006A60AB"/>
    <w:rsid w:val="006A6E26"/>
    <w:rsid w:val="006A775F"/>
    <w:rsid w:val="006A7D22"/>
    <w:rsid w:val="006B1113"/>
    <w:rsid w:val="006B1521"/>
    <w:rsid w:val="006B1A46"/>
    <w:rsid w:val="006B2453"/>
    <w:rsid w:val="006B32B9"/>
    <w:rsid w:val="006B3CF2"/>
    <w:rsid w:val="006B44DA"/>
    <w:rsid w:val="006B5DD8"/>
    <w:rsid w:val="006B603F"/>
    <w:rsid w:val="006C050A"/>
    <w:rsid w:val="006C37CC"/>
    <w:rsid w:val="006C37D8"/>
    <w:rsid w:val="006C44B7"/>
    <w:rsid w:val="006C5A0A"/>
    <w:rsid w:val="006C78EB"/>
    <w:rsid w:val="006C7F92"/>
    <w:rsid w:val="006D1660"/>
    <w:rsid w:val="006D2A75"/>
    <w:rsid w:val="006D30F8"/>
    <w:rsid w:val="006D3636"/>
    <w:rsid w:val="006D40D2"/>
    <w:rsid w:val="006D4854"/>
    <w:rsid w:val="006D48A1"/>
    <w:rsid w:val="006D4939"/>
    <w:rsid w:val="006D54AA"/>
    <w:rsid w:val="006D5659"/>
    <w:rsid w:val="006D5B9C"/>
    <w:rsid w:val="006D5BBA"/>
    <w:rsid w:val="006D6223"/>
    <w:rsid w:val="006D69A4"/>
    <w:rsid w:val="006D6A60"/>
    <w:rsid w:val="006D6F0D"/>
    <w:rsid w:val="006E096A"/>
    <w:rsid w:val="006E1E8A"/>
    <w:rsid w:val="006E2906"/>
    <w:rsid w:val="006E4630"/>
    <w:rsid w:val="006E4887"/>
    <w:rsid w:val="006E4976"/>
    <w:rsid w:val="006E6A87"/>
    <w:rsid w:val="006F05CA"/>
    <w:rsid w:val="006F2389"/>
    <w:rsid w:val="006F2D26"/>
    <w:rsid w:val="006F51FA"/>
    <w:rsid w:val="006F6F96"/>
    <w:rsid w:val="006F76D1"/>
    <w:rsid w:val="00700DE8"/>
    <w:rsid w:val="00702854"/>
    <w:rsid w:val="007034EF"/>
    <w:rsid w:val="00703502"/>
    <w:rsid w:val="0070374B"/>
    <w:rsid w:val="007038FD"/>
    <w:rsid w:val="00703A83"/>
    <w:rsid w:val="00704775"/>
    <w:rsid w:val="00705834"/>
    <w:rsid w:val="00707081"/>
    <w:rsid w:val="0071194C"/>
    <w:rsid w:val="00712FCE"/>
    <w:rsid w:val="0071354D"/>
    <w:rsid w:val="00713606"/>
    <w:rsid w:val="00713730"/>
    <w:rsid w:val="00713A16"/>
    <w:rsid w:val="007141D5"/>
    <w:rsid w:val="00714CB6"/>
    <w:rsid w:val="0071612D"/>
    <w:rsid w:val="0071785C"/>
    <w:rsid w:val="00721041"/>
    <w:rsid w:val="0072136B"/>
    <w:rsid w:val="00721A61"/>
    <w:rsid w:val="00721BC9"/>
    <w:rsid w:val="00721DEF"/>
    <w:rsid w:val="00723164"/>
    <w:rsid w:val="0072637C"/>
    <w:rsid w:val="00727BC9"/>
    <w:rsid w:val="00727E02"/>
    <w:rsid w:val="00731662"/>
    <w:rsid w:val="00732E34"/>
    <w:rsid w:val="007355D7"/>
    <w:rsid w:val="00735815"/>
    <w:rsid w:val="00740411"/>
    <w:rsid w:val="00740C7C"/>
    <w:rsid w:val="00742985"/>
    <w:rsid w:val="007438FD"/>
    <w:rsid w:val="00743AF4"/>
    <w:rsid w:val="00744BE8"/>
    <w:rsid w:val="00747851"/>
    <w:rsid w:val="00750266"/>
    <w:rsid w:val="0075057B"/>
    <w:rsid w:val="007510F1"/>
    <w:rsid w:val="007515A6"/>
    <w:rsid w:val="00751658"/>
    <w:rsid w:val="00751AB3"/>
    <w:rsid w:val="00751B81"/>
    <w:rsid w:val="00752BB6"/>
    <w:rsid w:val="00753CC7"/>
    <w:rsid w:val="007550E0"/>
    <w:rsid w:val="0075673F"/>
    <w:rsid w:val="0076273E"/>
    <w:rsid w:val="00764EF7"/>
    <w:rsid w:val="00766CE2"/>
    <w:rsid w:val="00767FA5"/>
    <w:rsid w:val="0077037F"/>
    <w:rsid w:val="007709BF"/>
    <w:rsid w:val="00770ABD"/>
    <w:rsid w:val="007717AA"/>
    <w:rsid w:val="007718C4"/>
    <w:rsid w:val="00772A70"/>
    <w:rsid w:val="00772D53"/>
    <w:rsid w:val="00772DA3"/>
    <w:rsid w:val="00775CAE"/>
    <w:rsid w:val="007771CB"/>
    <w:rsid w:val="00777DC4"/>
    <w:rsid w:val="00782873"/>
    <w:rsid w:val="00790A5B"/>
    <w:rsid w:val="007934E8"/>
    <w:rsid w:val="007958DF"/>
    <w:rsid w:val="00795B34"/>
    <w:rsid w:val="00796DED"/>
    <w:rsid w:val="007A1D78"/>
    <w:rsid w:val="007A1DBD"/>
    <w:rsid w:val="007A231F"/>
    <w:rsid w:val="007A2718"/>
    <w:rsid w:val="007A60CD"/>
    <w:rsid w:val="007A6852"/>
    <w:rsid w:val="007A721D"/>
    <w:rsid w:val="007B0AD8"/>
    <w:rsid w:val="007B0F19"/>
    <w:rsid w:val="007B1396"/>
    <w:rsid w:val="007B15F3"/>
    <w:rsid w:val="007B180C"/>
    <w:rsid w:val="007B19B3"/>
    <w:rsid w:val="007B280E"/>
    <w:rsid w:val="007B2963"/>
    <w:rsid w:val="007B4055"/>
    <w:rsid w:val="007B4059"/>
    <w:rsid w:val="007B497B"/>
    <w:rsid w:val="007B566A"/>
    <w:rsid w:val="007B7F21"/>
    <w:rsid w:val="007C1DD4"/>
    <w:rsid w:val="007C1ECD"/>
    <w:rsid w:val="007C3E42"/>
    <w:rsid w:val="007C41B7"/>
    <w:rsid w:val="007C6582"/>
    <w:rsid w:val="007C6DD1"/>
    <w:rsid w:val="007C7405"/>
    <w:rsid w:val="007D0D87"/>
    <w:rsid w:val="007D106C"/>
    <w:rsid w:val="007D450C"/>
    <w:rsid w:val="007D4B1D"/>
    <w:rsid w:val="007D5AFA"/>
    <w:rsid w:val="007D67BD"/>
    <w:rsid w:val="007E02FB"/>
    <w:rsid w:val="007E1C26"/>
    <w:rsid w:val="007E2F44"/>
    <w:rsid w:val="007E66C9"/>
    <w:rsid w:val="007F36AD"/>
    <w:rsid w:val="007F3723"/>
    <w:rsid w:val="007F378A"/>
    <w:rsid w:val="007F41C4"/>
    <w:rsid w:val="007F4560"/>
    <w:rsid w:val="007F5CAC"/>
    <w:rsid w:val="007F6251"/>
    <w:rsid w:val="007F6C61"/>
    <w:rsid w:val="007F774F"/>
    <w:rsid w:val="00803C08"/>
    <w:rsid w:val="00803DA7"/>
    <w:rsid w:val="00803F1F"/>
    <w:rsid w:val="00804C16"/>
    <w:rsid w:val="00806F15"/>
    <w:rsid w:val="00807E02"/>
    <w:rsid w:val="008114B4"/>
    <w:rsid w:val="00811910"/>
    <w:rsid w:val="008145EA"/>
    <w:rsid w:val="00815160"/>
    <w:rsid w:val="0081630B"/>
    <w:rsid w:val="00820BF7"/>
    <w:rsid w:val="008220A4"/>
    <w:rsid w:val="00822281"/>
    <w:rsid w:val="0082400F"/>
    <w:rsid w:val="00824CFF"/>
    <w:rsid w:val="00824DEB"/>
    <w:rsid w:val="0082556D"/>
    <w:rsid w:val="008271B1"/>
    <w:rsid w:val="00830221"/>
    <w:rsid w:val="008305E8"/>
    <w:rsid w:val="00830E8B"/>
    <w:rsid w:val="00831E61"/>
    <w:rsid w:val="00834A97"/>
    <w:rsid w:val="00834B3B"/>
    <w:rsid w:val="008361E0"/>
    <w:rsid w:val="00836282"/>
    <w:rsid w:val="008363A3"/>
    <w:rsid w:val="00837204"/>
    <w:rsid w:val="00840462"/>
    <w:rsid w:val="008414FF"/>
    <w:rsid w:val="00843896"/>
    <w:rsid w:val="00844577"/>
    <w:rsid w:val="00844AF6"/>
    <w:rsid w:val="00847938"/>
    <w:rsid w:val="008508AC"/>
    <w:rsid w:val="0085124F"/>
    <w:rsid w:val="008512DD"/>
    <w:rsid w:val="00851BB6"/>
    <w:rsid w:val="008523AB"/>
    <w:rsid w:val="008532AE"/>
    <w:rsid w:val="0085343D"/>
    <w:rsid w:val="0085571A"/>
    <w:rsid w:val="008573DB"/>
    <w:rsid w:val="00860538"/>
    <w:rsid w:val="00861106"/>
    <w:rsid w:val="008639AC"/>
    <w:rsid w:val="008643B4"/>
    <w:rsid w:val="00865DBF"/>
    <w:rsid w:val="0086708C"/>
    <w:rsid w:val="00874298"/>
    <w:rsid w:val="008759D6"/>
    <w:rsid w:val="00875BA7"/>
    <w:rsid w:val="00876509"/>
    <w:rsid w:val="00876D0E"/>
    <w:rsid w:val="0087792C"/>
    <w:rsid w:val="00880697"/>
    <w:rsid w:val="00881D18"/>
    <w:rsid w:val="00882009"/>
    <w:rsid w:val="008823E5"/>
    <w:rsid w:val="00882FFD"/>
    <w:rsid w:val="00883294"/>
    <w:rsid w:val="008839CF"/>
    <w:rsid w:val="00883F90"/>
    <w:rsid w:val="00884502"/>
    <w:rsid w:val="00887041"/>
    <w:rsid w:val="0088767E"/>
    <w:rsid w:val="00887727"/>
    <w:rsid w:val="008877A2"/>
    <w:rsid w:val="00887A45"/>
    <w:rsid w:val="008903F9"/>
    <w:rsid w:val="0089060F"/>
    <w:rsid w:val="008938C9"/>
    <w:rsid w:val="00894207"/>
    <w:rsid w:val="00895349"/>
    <w:rsid w:val="00895CC2"/>
    <w:rsid w:val="0089769F"/>
    <w:rsid w:val="0089785F"/>
    <w:rsid w:val="008A0DA7"/>
    <w:rsid w:val="008A0DFE"/>
    <w:rsid w:val="008A0ECD"/>
    <w:rsid w:val="008A1488"/>
    <w:rsid w:val="008A3D61"/>
    <w:rsid w:val="008A4E8E"/>
    <w:rsid w:val="008A4F02"/>
    <w:rsid w:val="008A5799"/>
    <w:rsid w:val="008A7E5B"/>
    <w:rsid w:val="008B0413"/>
    <w:rsid w:val="008B0903"/>
    <w:rsid w:val="008B0B1F"/>
    <w:rsid w:val="008B1BB0"/>
    <w:rsid w:val="008B23B3"/>
    <w:rsid w:val="008B4AFC"/>
    <w:rsid w:val="008B5ED8"/>
    <w:rsid w:val="008C039C"/>
    <w:rsid w:val="008C13D1"/>
    <w:rsid w:val="008C6D08"/>
    <w:rsid w:val="008C7ADB"/>
    <w:rsid w:val="008C7C46"/>
    <w:rsid w:val="008D0308"/>
    <w:rsid w:val="008D0362"/>
    <w:rsid w:val="008D0AC6"/>
    <w:rsid w:val="008D2709"/>
    <w:rsid w:val="008D37D7"/>
    <w:rsid w:val="008D38D2"/>
    <w:rsid w:val="008D43FA"/>
    <w:rsid w:val="008D4DB5"/>
    <w:rsid w:val="008D5E1B"/>
    <w:rsid w:val="008D745C"/>
    <w:rsid w:val="008D762A"/>
    <w:rsid w:val="008E0F3C"/>
    <w:rsid w:val="008E0FC1"/>
    <w:rsid w:val="008E17B4"/>
    <w:rsid w:val="008E2656"/>
    <w:rsid w:val="008E2659"/>
    <w:rsid w:val="008E36D4"/>
    <w:rsid w:val="008E431A"/>
    <w:rsid w:val="008E4E46"/>
    <w:rsid w:val="008E7FCB"/>
    <w:rsid w:val="008F0A42"/>
    <w:rsid w:val="008F2D02"/>
    <w:rsid w:val="008F35FA"/>
    <w:rsid w:val="008F3EDD"/>
    <w:rsid w:val="008F3F2B"/>
    <w:rsid w:val="008F3FE7"/>
    <w:rsid w:val="008F411E"/>
    <w:rsid w:val="008F5086"/>
    <w:rsid w:val="008F6DFA"/>
    <w:rsid w:val="008F7A9A"/>
    <w:rsid w:val="008F7B51"/>
    <w:rsid w:val="00900F3C"/>
    <w:rsid w:val="0090195F"/>
    <w:rsid w:val="00902727"/>
    <w:rsid w:val="00902B09"/>
    <w:rsid w:val="00902F55"/>
    <w:rsid w:val="009041A1"/>
    <w:rsid w:val="00905FC3"/>
    <w:rsid w:val="009071E3"/>
    <w:rsid w:val="0091120A"/>
    <w:rsid w:val="009123A2"/>
    <w:rsid w:val="0091524D"/>
    <w:rsid w:val="00915CDC"/>
    <w:rsid w:val="00915E93"/>
    <w:rsid w:val="009162AB"/>
    <w:rsid w:val="009163C5"/>
    <w:rsid w:val="009179D3"/>
    <w:rsid w:val="0092019D"/>
    <w:rsid w:val="0092027B"/>
    <w:rsid w:val="009208DF"/>
    <w:rsid w:val="009208E8"/>
    <w:rsid w:val="00920F72"/>
    <w:rsid w:val="0092118E"/>
    <w:rsid w:val="00923850"/>
    <w:rsid w:val="00924C17"/>
    <w:rsid w:val="0092685A"/>
    <w:rsid w:val="00926DDD"/>
    <w:rsid w:val="00930B26"/>
    <w:rsid w:val="00930CE5"/>
    <w:rsid w:val="009312D4"/>
    <w:rsid w:val="0093134E"/>
    <w:rsid w:val="00931A4F"/>
    <w:rsid w:val="00932202"/>
    <w:rsid w:val="0093264A"/>
    <w:rsid w:val="00932D69"/>
    <w:rsid w:val="00934CFD"/>
    <w:rsid w:val="00935879"/>
    <w:rsid w:val="00937082"/>
    <w:rsid w:val="00943681"/>
    <w:rsid w:val="00944C82"/>
    <w:rsid w:val="00944CBE"/>
    <w:rsid w:val="00946922"/>
    <w:rsid w:val="00950396"/>
    <w:rsid w:val="00951547"/>
    <w:rsid w:val="009518AA"/>
    <w:rsid w:val="00954AFF"/>
    <w:rsid w:val="009569BD"/>
    <w:rsid w:val="00960687"/>
    <w:rsid w:val="00960C9F"/>
    <w:rsid w:val="009613CB"/>
    <w:rsid w:val="00962365"/>
    <w:rsid w:val="00962FE3"/>
    <w:rsid w:val="00963B5E"/>
    <w:rsid w:val="00964840"/>
    <w:rsid w:val="009654D2"/>
    <w:rsid w:val="00965FC7"/>
    <w:rsid w:val="00966D1F"/>
    <w:rsid w:val="00967421"/>
    <w:rsid w:val="0096754A"/>
    <w:rsid w:val="00971D16"/>
    <w:rsid w:val="0097367B"/>
    <w:rsid w:val="00973AA7"/>
    <w:rsid w:val="00974A88"/>
    <w:rsid w:val="00974B93"/>
    <w:rsid w:val="009755F7"/>
    <w:rsid w:val="00975B3E"/>
    <w:rsid w:val="00976BD9"/>
    <w:rsid w:val="00977C34"/>
    <w:rsid w:val="00977F0E"/>
    <w:rsid w:val="00980278"/>
    <w:rsid w:val="00981412"/>
    <w:rsid w:val="009827DD"/>
    <w:rsid w:val="00982A31"/>
    <w:rsid w:val="00984049"/>
    <w:rsid w:val="009845AD"/>
    <w:rsid w:val="00985296"/>
    <w:rsid w:val="00990678"/>
    <w:rsid w:val="009939BB"/>
    <w:rsid w:val="009963D1"/>
    <w:rsid w:val="00996E93"/>
    <w:rsid w:val="00997D34"/>
    <w:rsid w:val="009A162E"/>
    <w:rsid w:val="009A224D"/>
    <w:rsid w:val="009A46BA"/>
    <w:rsid w:val="009A6D5B"/>
    <w:rsid w:val="009A794B"/>
    <w:rsid w:val="009B054D"/>
    <w:rsid w:val="009B1CCB"/>
    <w:rsid w:val="009B26B8"/>
    <w:rsid w:val="009B28C9"/>
    <w:rsid w:val="009B2E27"/>
    <w:rsid w:val="009B3C58"/>
    <w:rsid w:val="009B5165"/>
    <w:rsid w:val="009B6711"/>
    <w:rsid w:val="009C10B5"/>
    <w:rsid w:val="009C483B"/>
    <w:rsid w:val="009C671E"/>
    <w:rsid w:val="009C6CDF"/>
    <w:rsid w:val="009C7131"/>
    <w:rsid w:val="009D0EA0"/>
    <w:rsid w:val="009D138A"/>
    <w:rsid w:val="009D22F0"/>
    <w:rsid w:val="009D2B84"/>
    <w:rsid w:val="009D60B8"/>
    <w:rsid w:val="009D6EB6"/>
    <w:rsid w:val="009D7BD0"/>
    <w:rsid w:val="009E0603"/>
    <w:rsid w:val="009E0F67"/>
    <w:rsid w:val="009E1F46"/>
    <w:rsid w:val="009E2A8C"/>
    <w:rsid w:val="009E4487"/>
    <w:rsid w:val="009E51C2"/>
    <w:rsid w:val="009F097B"/>
    <w:rsid w:val="009F2D15"/>
    <w:rsid w:val="009F4B6E"/>
    <w:rsid w:val="009F6119"/>
    <w:rsid w:val="009F6987"/>
    <w:rsid w:val="009F746B"/>
    <w:rsid w:val="009F7A33"/>
    <w:rsid w:val="009F7CF5"/>
    <w:rsid w:val="00A01BE4"/>
    <w:rsid w:val="00A024DE"/>
    <w:rsid w:val="00A026BB"/>
    <w:rsid w:val="00A047BE"/>
    <w:rsid w:val="00A0569C"/>
    <w:rsid w:val="00A06087"/>
    <w:rsid w:val="00A06262"/>
    <w:rsid w:val="00A07858"/>
    <w:rsid w:val="00A078FC"/>
    <w:rsid w:val="00A07B1F"/>
    <w:rsid w:val="00A123AD"/>
    <w:rsid w:val="00A1394E"/>
    <w:rsid w:val="00A13B94"/>
    <w:rsid w:val="00A16A28"/>
    <w:rsid w:val="00A16CC5"/>
    <w:rsid w:val="00A16D41"/>
    <w:rsid w:val="00A1729B"/>
    <w:rsid w:val="00A20C09"/>
    <w:rsid w:val="00A21C4E"/>
    <w:rsid w:val="00A24406"/>
    <w:rsid w:val="00A24A25"/>
    <w:rsid w:val="00A25FAF"/>
    <w:rsid w:val="00A2798F"/>
    <w:rsid w:val="00A3042F"/>
    <w:rsid w:val="00A314BC"/>
    <w:rsid w:val="00A3491C"/>
    <w:rsid w:val="00A34B1D"/>
    <w:rsid w:val="00A34E9A"/>
    <w:rsid w:val="00A411C3"/>
    <w:rsid w:val="00A45903"/>
    <w:rsid w:val="00A45BB2"/>
    <w:rsid w:val="00A46293"/>
    <w:rsid w:val="00A468E3"/>
    <w:rsid w:val="00A4741D"/>
    <w:rsid w:val="00A47A08"/>
    <w:rsid w:val="00A47DA2"/>
    <w:rsid w:val="00A47FA2"/>
    <w:rsid w:val="00A50226"/>
    <w:rsid w:val="00A50CF2"/>
    <w:rsid w:val="00A51702"/>
    <w:rsid w:val="00A52132"/>
    <w:rsid w:val="00A5384C"/>
    <w:rsid w:val="00A5425A"/>
    <w:rsid w:val="00A5435B"/>
    <w:rsid w:val="00A553CE"/>
    <w:rsid w:val="00A559A3"/>
    <w:rsid w:val="00A55B8D"/>
    <w:rsid w:val="00A564EE"/>
    <w:rsid w:val="00A6096A"/>
    <w:rsid w:val="00A60B15"/>
    <w:rsid w:val="00A61A66"/>
    <w:rsid w:val="00A634F3"/>
    <w:rsid w:val="00A637F3"/>
    <w:rsid w:val="00A64DA6"/>
    <w:rsid w:val="00A675DC"/>
    <w:rsid w:val="00A71F78"/>
    <w:rsid w:val="00A745CE"/>
    <w:rsid w:val="00A75399"/>
    <w:rsid w:val="00A75607"/>
    <w:rsid w:val="00A757DB"/>
    <w:rsid w:val="00A76C5B"/>
    <w:rsid w:val="00A77052"/>
    <w:rsid w:val="00A77F9C"/>
    <w:rsid w:val="00A80E25"/>
    <w:rsid w:val="00A81036"/>
    <w:rsid w:val="00A81775"/>
    <w:rsid w:val="00A81D26"/>
    <w:rsid w:val="00A834FA"/>
    <w:rsid w:val="00A840F6"/>
    <w:rsid w:val="00A85156"/>
    <w:rsid w:val="00A8559E"/>
    <w:rsid w:val="00A8575A"/>
    <w:rsid w:val="00A85A1B"/>
    <w:rsid w:val="00A86553"/>
    <w:rsid w:val="00A86FB9"/>
    <w:rsid w:val="00A950D1"/>
    <w:rsid w:val="00A9514A"/>
    <w:rsid w:val="00A953DB"/>
    <w:rsid w:val="00A95B9A"/>
    <w:rsid w:val="00AA0847"/>
    <w:rsid w:val="00AA0EC1"/>
    <w:rsid w:val="00AA0F0B"/>
    <w:rsid w:val="00AA222B"/>
    <w:rsid w:val="00AA27B9"/>
    <w:rsid w:val="00AA2BEC"/>
    <w:rsid w:val="00AA3ECE"/>
    <w:rsid w:val="00AB0FBF"/>
    <w:rsid w:val="00AB190A"/>
    <w:rsid w:val="00AB19E0"/>
    <w:rsid w:val="00AB2871"/>
    <w:rsid w:val="00AB3DC1"/>
    <w:rsid w:val="00AB45EC"/>
    <w:rsid w:val="00AB61B8"/>
    <w:rsid w:val="00AB7D21"/>
    <w:rsid w:val="00AC0B69"/>
    <w:rsid w:val="00AC0E4C"/>
    <w:rsid w:val="00AC16E8"/>
    <w:rsid w:val="00AC2E40"/>
    <w:rsid w:val="00AC332F"/>
    <w:rsid w:val="00AC5537"/>
    <w:rsid w:val="00AC595C"/>
    <w:rsid w:val="00AC675D"/>
    <w:rsid w:val="00AC712E"/>
    <w:rsid w:val="00AD0081"/>
    <w:rsid w:val="00AD0BFD"/>
    <w:rsid w:val="00AD12CC"/>
    <w:rsid w:val="00AD44F9"/>
    <w:rsid w:val="00AD4B88"/>
    <w:rsid w:val="00AD5A51"/>
    <w:rsid w:val="00AD5B44"/>
    <w:rsid w:val="00AE0A30"/>
    <w:rsid w:val="00AE1B3D"/>
    <w:rsid w:val="00AE3223"/>
    <w:rsid w:val="00AE4DC6"/>
    <w:rsid w:val="00AE5ADC"/>
    <w:rsid w:val="00AE5C0D"/>
    <w:rsid w:val="00AE6840"/>
    <w:rsid w:val="00AE6D58"/>
    <w:rsid w:val="00AE7E9B"/>
    <w:rsid w:val="00AF1CCC"/>
    <w:rsid w:val="00AF4719"/>
    <w:rsid w:val="00AF48B7"/>
    <w:rsid w:val="00AF50E5"/>
    <w:rsid w:val="00AF5435"/>
    <w:rsid w:val="00AF544B"/>
    <w:rsid w:val="00AF5BC8"/>
    <w:rsid w:val="00B01D94"/>
    <w:rsid w:val="00B029AA"/>
    <w:rsid w:val="00B034A6"/>
    <w:rsid w:val="00B07978"/>
    <w:rsid w:val="00B11980"/>
    <w:rsid w:val="00B14FE3"/>
    <w:rsid w:val="00B1554A"/>
    <w:rsid w:val="00B15990"/>
    <w:rsid w:val="00B178BF"/>
    <w:rsid w:val="00B17BF7"/>
    <w:rsid w:val="00B20E31"/>
    <w:rsid w:val="00B21CE0"/>
    <w:rsid w:val="00B21F2A"/>
    <w:rsid w:val="00B21FA6"/>
    <w:rsid w:val="00B226AB"/>
    <w:rsid w:val="00B24105"/>
    <w:rsid w:val="00B253AF"/>
    <w:rsid w:val="00B27092"/>
    <w:rsid w:val="00B30C94"/>
    <w:rsid w:val="00B30EB0"/>
    <w:rsid w:val="00B3297B"/>
    <w:rsid w:val="00B34A0A"/>
    <w:rsid w:val="00B35DE9"/>
    <w:rsid w:val="00B361E6"/>
    <w:rsid w:val="00B3668E"/>
    <w:rsid w:val="00B37EB3"/>
    <w:rsid w:val="00B40174"/>
    <w:rsid w:val="00B422E9"/>
    <w:rsid w:val="00B42B4F"/>
    <w:rsid w:val="00B43079"/>
    <w:rsid w:val="00B43AD5"/>
    <w:rsid w:val="00B4518B"/>
    <w:rsid w:val="00B4545A"/>
    <w:rsid w:val="00B45659"/>
    <w:rsid w:val="00B4646F"/>
    <w:rsid w:val="00B47C13"/>
    <w:rsid w:val="00B50579"/>
    <w:rsid w:val="00B53433"/>
    <w:rsid w:val="00B53AC1"/>
    <w:rsid w:val="00B56EC7"/>
    <w:rsid w:val="00B6199D"/>
    <w:rsid w:val="00B62B97"/>
    <w:rsid w:val="00B62FFE"/>
    <w:rsid w:val="00B634CC"/>
    <w:rsid w:val="00B638C1"/>
    <w:rsid w:val="00B66146"/>
    <w:rsid w:val="00B66901"/>
    <w:rsid w:val="00B705DD"/>
    <w:rsid w:val="00B72733"/>
    <w:rsid w:val="00B7551A"/>
    <w:rsid w:val="00B75F43"/>
    <w:rsid w:val="00B773DA"/>
    <w:rsid w:val="00B77896"/>
    <w:rsid w:val="00B82747"/>
    <w:rsid w:val="00B83561"/>
    <w:rsid w:val="00B84001"/>
    <w:rsid w:val="00B8423F"/>
    <w:rsid w:val="00B845B7"/>
    <w:rsid w:val="00B85FF3"/>
    <w:rsid w:val="00B86D94"/>
    <w:rsid w:val="00B8715E"/>
    <w:rsid w:val="00B873AB"/>
    <w:rsid w:val="00B90250"/>
    <w:rsid w:val="00B9072B"/>
    <w:rsid w:val="00B92C99"/>
    <w:rsid w:val="00B938C0"/>
    <w:rsid w:val="00B94D7D"/>
    <w:rsid w:val="00B94FBD"/>
    <w:rsid w:val="00B95C68"/>
    <w:rsid w:val="00B967F2"/>
    <w:rsid w:val="00B96A89"/>
    <w:rsid w:val="00B97B93"/>
    <w:rsid w:val="00BA07EA"/>
    <w:rsid w:val="00BA0E42"/>
    <w:rsid w:val="00BA1FD4"/>
    <w:rsid w:val="00BA2AC6"/>
    <w:rsid w:val="00BA2DF5"/>
    <w:rsid w:val="00BA3295"/>
    <w:rsid w:val="00BA349F"/>
    <w:rsid w:val="00BA3895"/>
    <w:rsid w:val="00BA468A"/>
    <w:rsid w:val="00BA5EB6"/>
    <w:rsid w:val="00BB233C"/>
    <w:rsid w:val="00BB3B85"/>
    <w:rsid w:val="00BB3B94"/>
    <w:rsid w:val="00BB7537"/>
    <w:rsid w:val="00BB79DE"/>
    <w:rsid w:val="00BB7F36"/>
    <w:rsid w:val="00BC0403"/>
    <w:rsid w:val="00BC0F8C"/>
    <w:rsid w:val="00BC14DA"/>
    <w:rsid w:val="00BC22F4"/>
    <w:rsid w:val="00BC2DA9"/>
    <w:rsid w:val="00BC39F9"/>
    <w:rsid w:val="00BC3A3A"/>
    <w:rsid w:val="00BC3E57"/>
    <w:rsid w:val="00BC4504"/>
    <w:rsid w:val="00BC5ABD"/>
    <w:rsid w:val="00BC5AF8"/>
    <w:rsid w:val="00BC6C6A"/>
    <w:rsid w:val="00BC7260"/>
    <w:rsid w:val="00BC78DF"/>
    <w:rsid w:val="00BC7B9A"/>
    <w:rsid w:val="00BD0777"/>
    <w:rsid w:val="00BD2BF1"/>
    <w:rsid w:val="00BD2C02"/>
    <w:rsid w:val="00BD2D30"/>
    <w:rsid w:val="00BD46D6"/>
    <w:rsid w:val="00BD67CF"/>
    <w:rsid w:val="00BD6FF5"/>
    <w:rsid w:val="00BD768B"/>
    <w:rsid w:val="00BD7CBC"/>
    <w:rsid w:val="00BE0129"/>
    <w:rsid w:val="00BE1EAC"/>
    <w:rsid w:val="00BE20EB"/>
    <w:rsid w:val="00BE2D9B"/>
    <w:rsid w:val="00BE4AD3"/>
    <w:rsid w:val="00BE4E92"/>
    <w:rsid w:val="00BE5331"/>
    <w:rsid w:val="00BE5FB8"/>
    <w:rsid w:val="00BE72D4"/>
    <w:rsid w:val="00BE7AF3"/>
    <w:rsid w:val="00BF2957"/>
    <w:rsid w:val="00BF3345"/>
    <w:rsid w:val="00BF58BF"/>
    <w:rsid w:val="00BF7A9A"/>
    <w:rsid w:val="00C007F0"/>
    <w:rsid w:val="00C013EB"/>
    <w:rsid w:val="00C01C75"/>
    <w:rsid w:val="00C01F63"/>
    <w:rsid w:val="00C027B3"/>
    <w:rsid w:val="00C03340"/>
    <w:rsid w:val="00C06144"/>
    <w:rsid w:val="00C14450"/>
    <w:rsid w:val="00C14FCE"/>
    <w:rsid w:val="00C172C3"/>
    <w:rsid w:val="00C20543"/>
    <w:rsid w:val="00C215AA"/>
    <w:rsid w:val="00C217DD"/>
    <w:rsid w:val="00C22AC4"/>
    <w:rsid w:val="00C22EE2"/>
    <w:rsid w:val="00C24EA6"/>
    <w:rsid w:val="00C2683C"/>
    <w:rsid w:val="00C27084"/>
    <w:rsid w:val="00C27BB5"/>
    <w:rsid w:val="00C30B7D"/>
    <w:rsid w:val="00C33B34"/>
    <w:rsid w:val="00C33E53"/>
    <w:rsid w:val="00C411A6"/>
    <w:rsid w:val="00C41468"/>
    <w:rsid w:val="00C41A24"/>
    <w:rsid w:val="00C41E57"/>
    <w:rsid w:val="00C43ACE"/>
    <w:rsid w:val="00C43AF7"/>
    <w:rsid w:val="00C44D7B"/>
    <w:rsid w:val="00C44DAF"/>
    <w:rsid w:val="00C47323"/>
    <w:rsid w:val="00C52131"/>
    <w:rsid w:val="00C52D00"/>
    <w:rsid w:val="00C5467B"/>
    <w:rsid w:val="00C547B9"/>
    <w:rsid w:val="00C55BDD"/>
    <w:rsid w:val="00C55DAF"/>
    <w:rsid w:val="00C56C87"/>
    <w:rsid w:val="00C57D4A"/>
    <w:rsid w:val="00C6035E"/>
    <w:rsid w:val="00C61B5C"/>
    <w:rsid w:val="00C62499"/>
    <w:rsid w:val="00C62965"/>
    <w:rsid w:val="00C64B5B"/>
    <w:rsid w:val="00C65238"/>
    <w:rsid w:val="00C669F1"/>
    <w:rsid w:val="00C6780E"/>
    <w:rsid w:val="00C67F65"/>
    <w:rsid w:val="00C70B7D"/>
    <w:rsid w:val="00C71BE9"/>
    <w:rsid w:val="00C7305D"/>
    <w:rsid w:val="00C75D6C"/>
    <w:rsid w:val="00C75D9A"/>
    <w:rsid w:val="00C77A91"/>
    <w:rsid w:val="00C801F0"/>
    <w:rsid w:val="00C80F62"/>
    <w:rsid w:val="00C8133F"/>
    <w:rsid w:val="00C81656"/>
    <w:rsid w:val="00C81F38"/>
    <w:rsid w:val="00C83A2E"/>
    <w:rsid w:val="00C8453F"/>
    <w:rsid w:val="00C85DA4"/>
    <w:rsid w:val="00C86248"/>
    <w:rsid w:val="00C86314"/>
    <w:rsid w:val="00C8662D"/>
    <w:rsid w:val="00C90210"/>
    <w:rsid w:val="00C91495"/>
    <w:rsid w:val="00C9152D"/>
    <w:rsid w:val="00C91EBF"/>
    <w:rsid w:val="00C91FE9"/>
    <w:rsid w:val="00C954C1"/>
    <w:rsid w:val="00C96CB6"/>
    <w:rsid w:val="00C9719D"/>
    <w:rsid w:val="00C97EE1"/>
    <w:rsid w:val="00CA01F4"/>
    <w:rsid w:val="00CA040C"/>
    <w:rsid w:val="00CA04A9"/>
    <w:rsid w:val="00CA187E"/>
    <w:rsid w:val="00CA2C7A"/>
    <w:rsid w:val="00CA32BC"/>
    <w:rsid w:val="00CA3599"/>
    <w:rsid w:val="00CA4944"/>
    <w:rsid w:val="00CA4B59"/>
    <w:rsid w:val="00CA5013"/>
    <w:rsid w:val="00CB0FDB"/>
    <w:rsid w:val="00CB1910"/>
    <w:rsid w:val="00CB2E54"/>
    <w:rsid w:val="00CB452F"/>
    <w:rsid w:val="00CB4CFB"/>
    <w:rsid w:val="00CB4F5D"/>
    <w:rsid w:val="00CB5095"/>
    <w:rsid w:val="00CB5CC2"/>
    <w:rsid w:val="00CB66C1"/>
    <w:rsid w:val="00CB6CB6"/>
    <w:rsid w:val="00CB6E5F"/>
    <w:rsid w:val="00CC0A46"/>
    <w:rsid w:val="00CC0BB1"/>
    <w:rsid w:val="00CC1340"/>
    <w:rsid w:val="00CC34F0"/>
    <w:rsid w:val="00CC6A3C"/>
    <w:rsid w:val="00CC6F6D"/>
    <w:rsid w:val="00CD0A25"/>
    <w:rsid w:val="00CD0DE8"/>
    <w:rsid w:val="00CD1C64"/>
    <w:rsid w:val="00CD21C1"/>
    <w:rsid w:val="00CD34D6"/>
    <w:rsid w:val="00CD502F"/>
    <w:rsid w:val="00CD5879"/>
    <w:rsid w:val="00CD5CD3"/>
    <w:rsid w:val="00CD6E30"/>
    <w:rsid w:val="00CD7CE3"/>
    <w:rsid w:val="00CE11C7"/>
    <w:rsid w:val="00CE16AE"/>
    <w:rsid w:val="00CE2550"/>
    <w:rsid w:val="00CE2CA0"/>
    <w:rsid w:val="00CE36E3"/>
    <w:rsid w:val="00CE4728"/>
    <w:rsid w:val="00CE4786"/>
    <w:rsid w:val="00CE5A29"/>
    <w:rsid w:val="00CE5BAB"/>
    <w:rsid w:val="00CF1747"/>
    <w:rsid w:val="00CF2399"/>
    <w:rsid w:val="00CF2520"/>
    <w:rsid w:val="00CF2F2B"/>
    <w:rsid w:val="00CF41A3"/>
    <w:rsid w:val="00CF4489"/>
    <w:rsid w:val="00CF4DF0"/>
    <w:rsid w:val="00CF55D5"/>
    <w:rsid w:val="00CF617D"/>
    <w:rsid w:val="00D00AE3"/>
    <w:rsid w:val="00D026E3"/>
    <w:rsid w:val="00D034A7"/>
    <w:rsid w:val="00D03F0D"/>
    <w:rsid w:val="00D05410"/>
    <w:rsid w:val="00D05F12"/>
    <w:rsid w:val="00D06DAA"/>
    <w:rsid w:val="00D073A4"/>
    <w:rsid w:val="00D108BD"/>
    <w:rsid w:val="00D119DC"/>
    <w:rsid w:val="00D11EAC"/>
    <w:rsid w:val="00D11F8C"/>
    <w:rsid w:val="00D12759"/>
    <w:rsid w:val="00D13E3B"/>
    <w:rsid w:val="00D14E11"/>
    <w:rsid w:val="00D15B34"/>
    <w:rsid w:val="00D16D25"/>
    <w:rsid w:val="00D1730A"/>
    <w:rsid w:val="00D1753C"/>
    <w:rsid w:val="00D20301"/>
    <w:rsid w:val="00D2045D"/>
    <w:rsid w:val="00D221EA"/>
    <w:rsid w:val="00D25849"/>
    <w:rsid w:val="00D25993"/>
    <w:rsid w:val="00D2667C"/>
    <w:rsid w:val="00D26ACB"/>
    <w:rsid w:val="00D26CE2"/>
    <w:rsid w:val="00D30F40"/>
    <w:rsid w:val="00D338C2"/>
    <w:rsid w:val="00D339BB"/>
    <w:rsid w:val="00D33A87"/>
    <w:rsid w:val="00D33D43"/>
    <w:rsid w:val="00D3415A"/>
    <w:rsid w:val="00D3624B"/>
    <w:rsid w:val="00D36BCB"/>
    <w:rsid w:val="00D374E9"/>
    <w:rsid w:val="00D418EB"/>
    <w:rsid w:val="00D42ED1"/>
    <w:rsid w:val="00D44376"/>
    <w:rsid w:val="00D450EB"/>
    <w:rsid w:val="00D4550B"/>
    <w:rsid w:val="00D46856"/>
    <w:rsid w:val="00D47AA9"/>
    <w:rsid w:val="00D505FD"/>
    <w:rsid w:val="00D51FC5"/>
    <w:rsid w:val="00D52438"/>
    <w:rsid w:val="00D53D7E"/>
    <w:rsid w:val="00D54EC8"/>
    <w:rsid w:val="00D5540E"/>
    <w:rsid w:val="00D5669E"/>
    <w:rsid w:val="00D57782"/>
    <w:rsid w:val="00D57E18"/>
    <w:rsid w:val="00D60947"/>
    <w:rsid w:val="00D61583"/>
    <w:rsid w:val="00D62008"/>
    <w:rsid w:val="00D639A9"/>
    <w:rsid w:val="00D643B7"/>
    <w:rsid w:val="00D67424"/>
    <w:rsid w:val="00D67F08"/>
    <w:rsid w:val="00D71A8D"/>
    <w:rsid w:val="00D734C9"/>
    <w:rsid w:val="00D74061"/>
    <w:rsid w:val="00D74642"/>
    <w:rsid w:val="00D74AD0"/>
    <w:rsid w:val="00D75D1D"/>
    <w:rsid w:val="00D76201"/>
    <w:rsid w:val="00D7625C"/>
    <w:rsid w:val="00D7633A"/>
    <w:rsid w:val="00D7667F"/>
    <w:rsid w:val="00D770C7"/>
    <w:rsid w:val="00D80709"/>
    <w:rsid w:val="00D848BE"/>
    <w:rsid w:val="00D85AF3"/>
    <w:rsid w:val="00D85E43"/>
    <w:rsid w:val="00D861B3"/>
    <w:rsid w:val="00D86AEE"/>
    <w:rsid w:val="00D8737A"/>
    <w:rsid w:val="00D87E99"/>
    <w:rsid w:val="00D9151A"/>
    <w:rsid w:val="00D94C3A"/>
    <w:rsid w:val="00D95EFC"/>
    <w:rsid w:val="00D96CC9"/>
    <w:rsid w:val="00D973FA"/>
    <w:rsid w:val="00D9787F"/>
    <w:rsid w:val="00D9792F"/>
    <w:rsid w:val="00DA010D"/>
    <w:rsid w:val="00DA0978"/>
    <w:rsid w:val="00DA180C"/>
    <w:rsid w:val="00DA1F6F"/>
    <w:rsid w:val="00DA2E43"/>
    <w:rsid w:val="00DA3493"/>
    <w:rsid w:val="00DA3777"/>
    <w:rsid w:val="00DA4634"/>
    <w:rsid w:val="00DA5ADB"/>
    <w:rsid w:val="00DA75C1"/>
    <w:rsid w:val="00DA7D6C"/>
    <w:rsid w:val="00DB06ED"/>
    <w:rsid w:val="00DB32B9"/>
    <w:rsid w:val="00DB3415"/>
    <w:rsid w:val="00DB46D9"/>
    <w:rsid w:val="00DB4D24"/>
    <w:rsid w:val="00DB6B88"/>
    <w:rsid w:val="00DB7924"/>
    <w:rsid w:val="00DB7A1A"/>
    <w:rsid w:val="00DC00CE"/>
    <w:rsid w:val="00DC1CC9"/>
    <w:rsid w:val="00DC28A0"/>
    <w:rsid w:val="00DC2B1F"/>
    <w:rsid w:val="00DC393C"/>
    <w:rsid w:val="00DC7461"/>
    <w:rsid w:val="00DC7A87"/>
    <w:rsid w:val="00DD0E5A"/>
    <w:rsid w:val="00DD10DD"/>
    <w:rsid w:val="00DD117A"/>
    <w:rsid w:val="00DD1517"/>
    <w:rsid w:val="00DD272F"/>
    <w:rsid w:val="00DD2CA0"/>
    <w:rsid w:val="00DD3815"/>
    <w:rsid w:val="00DD4D0F"/>
    <w:rsid w:val="00DD54FB"/>
    <w:rsid w:val="00DD6480"/>
    <w:rsid w:val="00DD6782"/>
    <w:rsid w:val="00DE00AC"/>
    <w:rsid w:val="00DE246C"/>
    <w:rsid w:val="00DE2563"/>
    <w:rsid w:val="00DE2DD8"/>
    <w:rsid w:val="00DE3AAC"/>
    <w:rsid w:val="00DE434C"/>
    <w:rsid w:val="00DE674B"/>
    <w:rsid w:val="00DE719B"/>
    <w:rsid w:val="00DE747D"/>
    <w:rsid w:val="00DF008B"/>
    <w:rsid w:val="00DF0A1D"/>
    <w:rsid w:val="00DF2C06"/>
    <w:rsid w:val="00DF2C6D"/>
    <w:rsid w:val="00DF38D4"/>
    <w:rsid w:val="00DF3FEB"/>
    <w:rsid w:val="00DF47DC"/>
    <w:rsid w:val="00DF6869"/>
    <w:rsid w:val="00DF78D6"/>
    <w:rsid w:val="00E00063"/>
    <w:rsid w:val="00E00CB1"/>
    <w:rsid w:val="00E03406"/>
    <w:rsid w:val="00E03512"/>
    <w:rsid w:val="00E058C5"/>
    <w:rsid w:val="00E06394"/>
    <w:rsid w:val="00E105D1"/>
    <w:rsid w:val="00E108C6"/>
    <w:rsid w:val="00E11A4D"/>
    <w:rsid w:val="00E128CE"/>
    <w:rsid w:val="00E128F5"/>
    <w:rsid w:val="00E13041"/>
    <w:rsid w:val="00E1467D"/>
    <w:rsid w:val="00E16624"/>
    <w:rsid w:val="00E17FD8"/>
    <w:rsid w:val="00E20930"/>
    <w:rsid w:val="00E20BFF"/>
    <w:rsid w:val="00E2685F"/>
    <w:rsid w:val="00E26E78"/>
    <w:rsid w:val="00E27CE1"/>
    <w:rsid w:val="00E27FA6"/>
    <w:rsid w:val="00E30352"/>
    <w:rsid w:val="00E32B0E"/>
    <w:rsid w:val="00E32F6B"/>
    <w:rsid w:val="00E33425"/>
    <w:rsid w:val="00E336A4"/>
    <w:rsid w:val="00E33A39"/>
    <w:rsid w:val="00E344EA"/>
    <w:rsid w:val="00E346D9"/>
    <w:rsid w:val="00E34D13"/>
    <w:rsid w:val="00E374D4"/>
    <w:rsid w:val="00E3753E"/>
    <w:rsid w:val="00E40D0D"/>
    <w:rsid w:val="00E41F4E"/>
    <w:rsid w:val="00E430D8"/>
    <w:rsid w:val="00E43A27"/>
    <w:rsid w:val="00E43A3B"/>
    <w:rsid w:val="00E44D55"/>
    <w:rsid w:val="00E44F32"/>
    <w:rsid w:val="00E46A9D"/>
    <w:rsid w:val="00E47AD2"/>
    <w:rsid w:val="00E5126F"/>
    <w:rsid w:val="00E512D1"/>
    <w:rsid w:val="00E520EA"/>
    <w:rsid w:val="00E5294B"/>
    <w:rsid w:val="00E52D79"/>
    <w:rsid w:val="00E54034"/>
    <w:rsid w:val="00E54158"/>
    <w:rsid w:val="00E54947"/>
    <w:rsid w:val="00E5538E"/>
    <w:rsid w:val="00E5547C"/>
    <w:rsid w:val="00E55C16"/>
    <w:rsid w:val="00E5757B"/>
    <w:rsid w:val="00E577CD"/>
    <w:rsid w:val="00E614BF"/>
    <w:rsid w:val="00E616F5"/>
    <w:rsid w:val="00E64BA7"/>
    <w:rsid w:val="00E64DA5"/>
    <w:rsid w:val="00E64FC0"/>
    <w:rsid w:val="00E65BC9"/>
    <w:rsid w:val="00E6719E"/>
    <w:rsid w:val="00E70D82"/>
    <w:rsid w:val="00E7113F"/>
    <w:rsid w:val="00E722A6"/>
    <w:rsid w:val="00E73410"/>
    <w:rsid w:val="00E751DB"/>
    <w:rsid w:val="00E75F01"/>
    <w:rsid w:val="00E762C1"/>
    <w:rsid w:val="00E76F3D"/>
    <w:rsid w:val="00E812FA"/>
    <w:rsid w:val="00E8258D"/>
    <w:rsid w:val="00E859FC"/>
    <w:rsid w:val="00E862B2"/>
    <w:rsid w:val="00E864E9"/>
    <w:rsid w:val="00E9055B"/>
    <w:rsid w:val="00E90A55"/>
    <w:rsid w:val="00E90E16"/>
    <w:rsid w:val="00E91090"/>
    <w:rsid w:val="00E91C0A"/>
    <w:rsid w:val="00E91C9F"/>
    <w:rsid w:val="00E925BA"/>
    <w:rsid w:val="00E92ADD"/>
    <w:rsid w:val="00E92C18"/>
    <w:rsid w:val="00E935C1"/>
    <w:rsid w:val="00E94C12"/>
    <w:rsid w:val="00E95639"/>
    <w:rsid w:val="00E956BB"/>
    <w:rsid w:val="00E95B14"/>
    <w:rsid w:val="00E96B4C"/>
    <w:rsid w:val="00E96FE3"/>
    <w:rsid w:val="00E97F4E"/>
    <w:rsid w:val="00EA078A"/>
    <w:rsid w:val="00EA16D7"/>
    <w:rsid w:val="00EA1B2F"/>
    <w:rsid w:val="00EA31F7"/>
    <w:rsid w:val="00EA34D1"/>
    <w:rsid w:val="00EA50DC"/>
    <w:rsid w:val="00EA59A2"/>
    <w:rsid w:val="00EA5BB9"/>
    <w:rsid w:val="00EA6281"/>
    <w:rsid w:val="00EA631E"/>
    <w:rsid w:val="00EA73F7"/>
    <w:rsid w:val="00EA75BD"/>
    <w:rsid w:val="00EA7786"/>
    <w:rsid w:val="00EB0023"/>
    <w:rsid w:val="00EB027C"/>
    <w:rsid w:val="00EB06F8"/>
    <w:rsid w:val="00EB1853"/>
    <w:rsid w:val="00EB1856"/>
    <w:rsid w:val="00EB1904"/>
    <w:rsid w:val="00EB2ACD"/>
    <w:rsid w:val="00EB3454"/>
    <w:rsid w:val="00EB437F"/>
    <w:rsid w:val="00EB4DD8"/>
    <w:rsid w:val="00EB5134"/>
    <w:rsid w:val="00EB5425"/>
    <w:rsid w:val="00EB5710"/>
    <w:rsid w:val="00EB79A5"/>
    <w:rsid w:val="00EC02EB"/>
    <w:rsid w:val="00EC1B5E"/>
    <w:rsid w:val="00EC431A"/>
    <w:rsid w:val="00EC4586"/>
    <w:rsid w:val="00EC50CE"/>
    <w:rsid w:val="00EC5359"/>
    <w:rsid w:val="00EC5B34"/>
    <w:rsid w:val="00EC5C4A"/>
    <w:rsid w:val="00EC6093"/>
    <w:rsid w:val="00EC6115"/>
    <w:rsid w:val="00EC6119"/>
    <w:rsid w:val="00EC6A89"/>
    <w:rsid w:val="00EC6E39"/>
    <w:rsid w:val="00ED07EE"/>
    <w:rsid w:val="00ED3429"/>
    <w:rsid w:val="00ED5D75"/>
    <w:rsid w:val="00EE1EBC"/>
    <w:rsid w:val="00EE436B"/>
    <w:rsid w:val="00EE46A1"/>
    <w:rsid w:val="00EE6568"/>
    <w:rsid w:val="00EF06E4"/>
    <w:rsid w:val="00EF140B"/>
    <w:rsid w:val="00EF1CB5"/>
    <w:rsid w:val="00EF5292"/>
    <w:rsid w:val="00EF5EF2"/>
    <w:rsid w:val="00EF7477"/>
    <w:rsid w:val="00EF7FBD"/>
    <w:rsid w:val="00F01EE0"/>
    <w:rsid w:val="00F036BD"/>
    <w:rsid w:val="00F03FA2"/>
    <w:rsid w:val="00F04BF8"/>
    <w:rsid w:val="00F05968"/>
    <w:rsid w:val="00F06A8B"/>
    <w:rsid w:val="00F07C0B"/>
    <w:rsid w:val="00F10336"/>
    <w:rsid w:val="00F10638"/>
    <w:rsid w:val="00F10FDB"/>
    <w:rsid w:val="00F13EF9"/>
    <w:rsid w:val="00F14F11"/>
    <w:rsid w:val="00F15113"/>
    <w:rsid w:val="00F15A94"/>
    <w:rsid w:val="00F210D1"/>
    <w:rsid w:val="00F2157B"/>
    <w:rsid w:val="00F2282E"/>
    <w:rsid w:val="00F230DD"/>
    <w:rsid w:val="00F23970"/>
    <w:rsid w:val="00F23CC9"/>
    <w:rsid w:val="00F23EF6"/>
    <w:rsid w:val="00F24B8C"/>
    <w:rsid w:val="00F265F3"/>
    <w:rsid w:val="00F26DE4"/>
    <w:rsid w:val="00F26F30"/>
    <w:rsid w:val="00F30A98"/>
    <w:rsid w:val="00F3246E"/>
    <w:rsid w:val="00F35C10"/>
    <w:rsid w:val="00F40D88"/>
    <w:rsid w:val="00F41066"/>
    <w:rsid w:val="00F41F08"/>
    <w:rsid w:val="00F41FF9"/>
    <w:rsid w:val="00F4341A"/>
    <w:rsid w:val="00F44447"/>
    <w:rsid w:val="00F446CD"/>
    <w:rsid w:val="00F44C78"/>
    <w:rsid w:val="00F44FEE"/>
    <w:rsid w:val="00F4539B"/>
    <w:rsid w:val="00F45475"/>
    <w:rsid w:val="00F457C9"/>
    <w:rsid w:val="00F5077D"/>
    <w:rsid w:val="00F523B3"/>
    <w:rsid w:val="00F52D51"/>
    <w:rsid w:val="00F53231"/>
    <w:rsid w:val="00F543B5"/>
    <w:rsid w:val="00F54669"/>
    <w:rsid w:val="00F54B0A"/>
    <w:rsid w:val="00F5756F"/>
    <w:rsid w:val="00F57A49"/>
    <w:rsid w:val="00F57A5B"/>
    <w:rsid w:val="00F60B44"/>
    <w:rsid w:val="00F612E0"/>
    <w:rsid w:val="00F613E1"/>
    <w:rsid w:val="00F618BD"/>
    <w:rsid w:val="00F633F1"/>
    <w:rsid w:val="00F655EC"/>
    <w:rsid w:val="00F656C9"/>
    <w:rsid w:val="00F666A7"/>
    <w:rsid w:val="00F674E7"/>
    <w:rsid w:val="00F67B8A"/>
    <w:rsid w:val="00F71A50"/>
    <w:rsid w:val="00F72357"/>
    <w:rsid w:val="00F725F6"/>
    <w:rsid w:val="00F728AC"/>
    <w:rsid w:val="00F73A87"/>
    <w:rsid w:val="00F74678"/>
    <w:rsid w:val="00F748A9"/>
    <w:rsid w:val="00F75CF9"/>
    <w:rsid w:val="00F81196"/>
    <w:rsid w:val="00F82029"/>
    <w:rsid w:val="00F83080"/>
    <w:rsid w:val="00F847EC"/>
    <w:rsid w:val="00F84C5A"/>
    <w:rsid w:val="00F85615"/>
    <w:rsid w:val="00F91321"/>
    <w:rsid w:val="00F926B0"/>
    <w:rsid w:val="00F944E0"/>
    <w:rsid w:val="00F94559"/>
    <w:rsid w:val="00F9472D"/>
    <w:rsid w:val="00F948B9"/>
    <w:rsid w:val="00F95701"/>
    <w:rsid w:val="00F96CE3"/>
    <w:rsid w:val="00FA1A10"/>
    <w:rsid w:val="00FA209B"/>
    <w:rsid w:val="00FA20A0"/>
    <w:rsid w:val="00FA4DF9"/>
    <w:rsid w:val="00FA53D2"/>
    <w:rsid w:val="00FA5AB1"/>
    <w:rsid w:val="00FA6297"/>
    <w:rsid w:val="00FA6776"/>
    <w:rsid w:val="00FA6F6E"/>
    <w:rsid w:val="00FA7F38"/>
    <w:rsid w:val="00FB1B44"/>
    <w:rsid w:val="00FB2B05"/>
    <w:rsid w:val="00FB2CED"/>
    <w:rsid w:val="00FB35C5"/>
    <w:rsid w:val="00FB3C8A"/>
    <w:rsid w:val="00FB4C64"/>
    <w:rsid w:val="00FB6069"/>
    <w:rsid w:val="00FB6686"/>
    <w:rsid w:val="00FC0E8A"/>
    <w:rsid w:val="00FC1E09"/>
    <w:rsid w:val="00FC29CD"/>
    <w:rsid w:val="00FC3567"/>
    <w:rsid w:val="00FC3679"/>
    <w:rsid w:val="00FC4C0D"/>
    <w:rsid w:val="00FC5B81"/>
    <w:rsid w:val="00FC5BDC"/>
    <w:rsid w:val="00FC5CD1"/>
    <w:rsid w:val="00FC5D25"/>
    <w:rsid w:val="00FC67CD"/>
    <w:rsid w:val="00FC77DF"/>
    <w:rsid w:val="00FD0C00"/>
    <w:rsid w:val="00FD287F"/>
    <w:rsid w:val="00FD30DD"/>
    <w:rsid w:val="00FD42E9"/>
    <w:rsid w:val="00FD541F"/>
    <w:rsid w:val="00FE0BB2"/>
    <w:rsid w:val="00FE0FF3"/>
    <w:rsid w:val="00FE1330"/>
    <w:rsid w:val="00FE18B6"/>
    <w:rsid w:val="00FE358A"/>
    <w:rsid w:val="00FE3D57"/>
    <w:rsid w:val="00FE42D1"/>
    <w:rsid w:val="00FE46AC"/>
    <w:rsid w:val="00FE46D6"/>
    <w:rsid w:val="00FE49BD"/>
    <w:rsid w:val="00FE4EE7"/>
    <w:rsid w:val="00FE6178"/>
    <w:rsid w:val="00FE65A5"/>
    <w:rsid w:val="00FF1944"/>
    <w:rsid w:val="00FF1E7A"/>
    <w:rsid w:val="00FF2E81"/>
    <w:rsid w:val="00FF3F50"/>
    <w:rsid w:val="00FF5F17"/>
    <w:rsid w:val="00FF79B2"/>
    <w:rsid w:val="00FF7D7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FEA"/>
    <w:rPr>
      <w:rFonts w:ascii="Arial" w:hAnsi="Arial"/>
      <w:sz w:val="24"/>
      <w:lang w:eastAsia="en-GB"/>
    </w:rPr>
  </w:style>
  <w:style w:type="paragraph" w:styleId="Heading1">
    <w:name w:val="heading 1"/>
    <w:basedOn w:val="Normal"/>
    <w:next w:val="Normal"/>
    <w:qFormat/>
    <w:rsid w:val="00B7551A"/>
    <w:pPr>
      <w:spacing w:after="240"/>
      <w:ind w:left="709" w:hanging="709"/>
      <w:outlineLvl w:val="0"/>
    </w:pPr>
    <w:rPr>
      <w:b/>
      <w:sz w:val="36"/>
    </w:rPr>
  </w:style>
  <w:style w:type="paragraph" w:styleId="Heading2">
    <w:name w:val="heading 2"/>
    <w:basedOn w:val="Normal"/>
    <w:next w:val="Normal"/>
    <w:qFormat/>
    <w:rsid w:val="00935879"/>
    <w:pPr>
      <w:keepNext/>
      <w:spacing w:before="120" w:after="120"/>
      <w:outlineLvl w:val="1"/>
    </w:pPr>
    <w:rPr>
      <w:b/>
      <w:sz w:val="28"/>
    </w:rPr>
  </w:style>
  <w:style w:type="paragraph" w:styleId="Heading3">
    <w:name w:val="heading 3"/>
    <w:basedOn w:val="Normal"/>
    <w:next w:val="Normal"/>
    <w:qFormat/>
    <w:rsid w:val="00935879"/>
    <w:pPr>
      <w:keepNext/>
      <w:spacing w:before="120" w:after="120"/>
      <w:outlineLvl w:val="2"/>
    </w:pPr>
    <w:rPr>
      <w:b/>
    </w:rPr>
  </w:style>
  <w:style w:type="paragraph" w:styleId="Heading4">
    <w:name w:val="heading 4"/>
    <w:basedOn w:val="Normal"/>
    <w:next w:val="Normal"/>
    <w:qFormat/>
    <w:rsid w:val="00B7551A"/>
    <w:pPr>
      <w:keepNext/>
      <w:spacing w:before="120" w:after="120"/>
      <w:outlineLvl w:val="3"/>
    </w:pPr>
    <w:rPr>
      <w:rFonts w:ascii="Arial Narrow" w:hAnsi="Arial Narrow"/>
      <w:b/>
      <w:sz w:val="26"/>
    </w:rPr>
  </w:style>
  <w:style w:type="paragraph" w:styleId="Heading5">
    <w:name w:val="heading 5"/>
    <w:basedOn w:val="Normal"/>
    <w:next w:val="Normal"/>
    <w:qFormat/>
    <w:pPr>
      <w:keepNext/>
      <w:spacing w:before="120" w:after="120"/>
      <w:outlineLvl w:val="4"/>
    </w:pPr>
    <w:rPr>
      <w:rFonts w:ascii="Arial Narrow" w:hAnsi="Arial Narrow"/>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9845AD"/>
    <w:pPr>
      <w:tabs>
        <w:tab w:val="left" w:pos="567"/>
        <w:tab w:val="right" w:pos="9356"/>
      </w:tabs>
      <w:spacing w:before="300"/>
      <w:ind w:left="567" w:right="567" w:hanging="567"/>
    </w:pPr>
    <w:rPr>
      <w:sz w:val="28"/>
    </w:rPr>
  </w:style>
  <w:style w:type="paragraph" w:styleId="TOC2">
    <w:name w:val="toc 2"/>
    <w:basedOn w:val="Normal"/>
    <w:next w:val="Normal"/>
    <w:semiHidden/>
    <w:rsid w:val="0070374B"/>
    <w:pPr>
      <w:tabs>
        <w:tab w:val="right" w:pos="9356"/>
      </w:tabs>
      <w:spacing w:before="50"/>
      <w:ind w:left="567" w:right="567"/>
    </w:pPr>
    <w:rPr>
      <w:sz w:val="20"/>
    </w:rPr>
  </w:style>
  <w:style w:type="paragraph" w:styleId="TOC3">
    <w:name w:val="toc 3"/>
    <w:basedOn w:val="Normal"/>
    <w:next w:val="Normal"/>
    <w:semiHidden/>
    <w:pPr>
      <w:tabs>
        <w:tab w:val="right" w:pos="9356"/>
      </w:tabs>
      <w:spacing w:before="60"/>
      <w:ind w:left="1134" w:right="567" w:hanging="1134"/>
    </w:pPr>
    <w:rPr>
      <w:sz w:val="20"/>
    </w:rPr>
  </w:style>
  <w:style w:type="paragraph" w:customStyle="1" w:styleId="Bullet">
    <w:name w:val="Bullet"/>
    <w:basedOn w:val="Normal"/>
    <w:qFormat/>
    <w:pPr>
      <w:numPr>
        <w:numId w:val="1"/>
      </w:numPr>
      <w:tabs>
        <w:tab w:val="left" w:pos="284"/>
      </w:tabs>
      <w:spacing w:before="120"/>
    </w:pPr>
  </w:style>
  <w:style w:type="paragraph" w:styleId="Quote">
    <w:name w:val="Quote"/>
    <w:basedOn w:val="Normal"/>
    <w:next w:val="Normal"/>
    <w:qFormat/>
    <w:pPr>
      <w:spacing w:before="120"/>
      <w:ind w:left="284" w:right="284"/>
    </w:pPr>
  </w:style>
  <w:style w:type="paragraph" w:styleId="FootnoteText">
    <w:name w:val="footnote text"/>
    <w:basedOn w:val="Normal"/>
    <w:link w:val="FootnoteTextChar"/>
    <w:pPr>
      <w:spacing w:before="60"/>
      <w:ind w:left="284" w:hanging="284"/>
    </w:pPr>
    <w:rPr>
      <w:sz w:val="20"/>
      <w:lang w:val="x-none"/>
    </w:rPr>
  </w:style>
  <w:style w:type="paragraph" w:styleId="Header">
    <w:name w:val="header"/>
    <w:basedOn w:val="Normal"/>
  </w:style>
  <w:style w:type="paragraph" w:styleId="Title">
    <w:name w:val="Title"/>
    <w:basedOn w:val="Normal"/>
    <w:next w:val="Normal"/>
    <w:qFormat/>
    <w:rsid w:val="003A5FEA"/>
    <w:rPr>
      <w:b/>
      <w:sz w:val="64"/>
    </w:rPr>
  </w:style>
  <w:style w:type="paragraph" w:customStyle="1" w:styleId="Imprint">
    <w:name w:val="Imprint"/>
    <w:basedOn w:val="Normal"/>
    <w:next w:val="Normal"/>
    <w:pPr>
      <w:spacing w:after="240"/>
      <w:jc w:val="center"/>
    </w:pPr>
  </w:style>
  <w:style w:type="character" w:styleId="PageNumber">
    <w:name w:val="page number"/>
    <w:rsid w:val="003A5FEA"/>
    <w:rPr>
      <w:rFonts w:ascii="Arial" w:hAnsi="Arial"/>
      <w:b/>
      <w:sz w:val="28"/>
    </w:rPr>
  </w:style>
  <w:style w:type="paragraph" w:customStyle="1" w:styleId="VersoFooter">
    <w:name w:val="Verso Footer"/>
    <w:basedOn w:val="Normal"/>
    <w:rsid w:val="009F2D15"/>
    <w:pPr>
      <w:pBdr>
        <w:top w:val="single" w:sz="4" w:space="1" w:color="auto"/>
      </w:pBdr>
      <w:tabs>
        <w:tab w:val="left" w:pos="709"/>
      </w:tabs>
    </w:pPr>
    <w:rPr>
      <w:b/>
      <w:sz w:val="20"/>
    </w:rPr>
  </w:style>
  <w:style w:type="paragraph" w:customStyle="1" w:styleId="RectoFooter">
    <w:name w:val="Recto Footer"/>
    <w:basedOn w:val="Normal"/>
    <w:rsid w:val="009F2D15"/>
    <w:pPr>
      <w:pBdr>
        <w:top w:val="single" w:sz="4" w:space="1" w:color="auto"/>
      </w:pBdr>
      <w:tabs>
        <w:tab w:val="right" w:pos="8647"/>
        <w:tab w:val="right" w:pos="9356"/>
      </w:tabs>
    </w:pPr>
    <w:rPr>
      <w:b/>
      <w:sz w:val="20"/>
    </w:rPr>
  </w:style>
  <w:style w:type="paragraph" w:customStyle="1" w:styleId="Figure">
    <w:name w:val="Figure"/>
    <w:basedOn w:val="Normal"/>
    <w:next w:val="Normal"/>
    <w:pPr>
      <w:keepNext/>
      <w:spacing w:before="120" w:after="120"/>
      <w:ind w:left="1134" w:hanging="1134"/>
    </w:pPr>
    <w:rPr>
      <w:b/>
      <w:sz w:val="22"/>
    </w:rPr>
  </w:style>
  <w:style w:type="character" w:styleId="FootnoteReference">
    <w:name w:val="footnote reference"/>
    <w:rPr>
      <w:vertAlign w:val="superscript"/>
    </w:rPr>
  </w:style>
  <w:style w:type="paragraph" w:customStyle="1" w:styleId="Table">
    <w:name w:val="Table"/>
    <w:basedOn w:val="Figure"/>
    <w:qFormat/>
  </w:style>
  <w:style w:type="paragraph" w:customStyle="1" w:styleId="Dash">
    <w:name w:val="Dash"/>
    <w:basedOn w:val="Bullet"/>
    <w:rsid w:val="00702854"/>
    <w:pPr>
      <w:numPr>
        <w:numId w:val="3"/>
      </w:numPr>
      <w:tabs>
        <w:tab w:val="clear" w:pos="284"/>
      </w:tabs>
      <w:spacing w:before="60"/>
    </w:pPr>
  </w:style>
  <w:style w:type="paragraph" w:customStyle="1" w:styleId="TableBullet">
    <w:name w:val="TableBullet"/>
    <w:basedOn w:val="Normal"/>
    <w:rsid w:val="009F2D15"/>
    <w:pPr>
      <w:numPr>
        <w:numId w:val="5"/>
      </w:numPr>
      <w:spacing w:after="80"/>
    </w:pPr>
    <w:rPr>
      <w:sz w:val="20"/>
    </w:rPr>
  </w:style>
  <w:style w:type="paragraph" w:customStyle="1" w:styleId="Box">
    <w:name w:val="Box"/>
    <w:basedOn w:val="Normal"/>
    <w:rsid w:val="003B26D2"/>
    <w:pPr>
      <w:pBdr>
        <w:top w:val="single" w:sz="4" w:space="6" w:color="auto"/>
        <w:left w:val="single" w:sz="4" w:space="6" w:color="auto"/>
        <w:bottom w:val="single" w:sz="4" w:space="6" w:color="auto"/>
        <w:right w:val="single" w:sz="4" w:space="6" w:color="auto"/>
      </w:pBdr>
      <w:spacing w:before="120"/>
      <w:ind w:left="142" w:right="5670"/>
    </w:pPr>
    <w:rPr>
      <w:sz w:val="22"/>
    </w:rPr>
  </w:style>
  <w:style w:type="paragraph" w:customStyle="1" w:styleId="BoxHeading">
    <w:name w:val="BoxHeading"/>
    <w:basedOn w:val="Box"/>
    <w:rPr>
      <w:b/>
      <w:sz w:val="24"/>
    </w:rPr>
  </w:style>
  <w:style w:type="paragraph" w:customStyle="1" w:styleId="BoxBullet">
    <w:name w:val="BoxBullet"/>
    <w:basedOn w:val="Box"/>
    <w:pPr>
      <w:numPr>
        <w:numId w:val="2"/>
      </w:numPr>
      <w:tabs>
        <w:tab w:val="clear" w:pos="360"/>
      </w:tabs>
      <w:spacing w:before="60"/>
      <w:ind w:left="568"/>
    </w:pPr>
  </w:style>
  <w:style w:type="paragraph" w:customStyle="1" w:styleId="IntroHead">
    <w:name w:val="IntroHead"/>
    <w:basedOn w:val="Heading1"/>
    <w:next w:val="Normal"/>
    <w:pPr>
      <w:outlineLvl w:val="9"/>
    </w:pPr>
  </w:style>
  <w:style w:type="paragraph" w:customStyle="1" w:styleId="Source">
    <w:name w:val="Source"/>
    <w:basedOn w:val="Figure"/>
    <w:next w:val="Normal"/>
    <w:qFormat/>
    <w:pPr>
      <w:keepNext w:val="0"/>
      <w:spacing w:before="80" w:after="0"/>
      <w:ind w:left="0" w:firstLine="0"/>
    </w:pPr>
    <w:rPr>
      <w:b w:val="0"/>
      <w:sz w:val="20"/>
    </w:rPr>
  </w:style>
  <w:style w:type="paragraph" w:customStyle="1" w:styleId="Subhead">
    <w:name w:val="Subhead"/>
    <w:basedOn w:val="Normal"/>
    <w:next w:val="Normal"/>
    <w:rsid w:val="00147F71"/>
    <w:rPr>
      <w:sz w:val="48"/>
    </w:rPr>
  </w:style>
  <w:style w:type="character" w:styleId="Hyperlink">
    <w:name w:val="Hyperlink"/>
    <w:uiPriority w:val="99"/>
    <w:rPr>
      <w:color w:val="auto"/>
      <w:u w:val="none"/>
    </w:rPr>
  </w:style>
  <w:style w:type="paragraph" w:customStyle="1" w:styleId="Note">
    <w:name w:val="Note"/>
    <w:basedOn w:val="Normal"/>
    <w:next w:val="Normal"/>
    <w:link w:val="NoteChar"/>
    <w:qFormat/>
    <w:pPr>
      <w:spacing w:before="80"/>
      <w:ind w:left="284" w:hanging="284"/>
    </w:pPr>
    <w:rPr>
      <w:sz w:val="20"/>
      <w:lang w:val="x-none"/>
    </w:rPr>
  </w:style>
  <w:style w:type="paragraph" w:customStyle="1" w:styleId="TableDash">
    <w:name w:val="TableDash"/>
    <w:basedOn w:val="Normal"/>
    <w:rsid w:val="009F2D15"/>
    <w:pPr>
      <w:numPr>
        <w:numId w:val="4"/>
      </w:numPr>
      <w:spacing w:before="40"/>
    </w:pPr>
    <w:rPr>
      <w:sz w:val="20"/>
      <w:szCs w:val="22"/>
    </w:rPr>
  </w:style>
  <w:style w:type="paragraph" w:customStyle="1" w:styleId="TableText">
    <w:name w:val="TableText"/>
    <w:basedOn w:val="Normal"/>
    <w:qFormat/>
    <w:rsid w:val="00935879"/>
    <w:pPr>
      <w:spacing w:before="80" w:after="80"/>
    </w:pPr>
    <w:rPr>
      <w:sz w:val="20"/>
    </w:rPr>
  </w:style>
  <w:style w:type="table" w:styleId="TableGrid">
    <w:name w:val="Table Grid"/>
    <w:basedOn w:val="TableNormal"/>
    <w:rsid w:val="00402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rsid w:val="00C77A91"/>
    <w:pPr>
      <w:spacing w:after="180"/>
    </w:pPr>
    <w:rPr>
      <w:sz w:val="22"/>
    </w:rPr>
  </w:style>
  <w:style w:type="paragraph" w:styleId="Footer">
    <w:name w:val="footer"/>
    <w:basedOn w:val="Normal"/>
    <w:link w:val="FooterChar"/>
    <w:uiPriority w:val="99"/>
    <w:unhideWhenUsed/>
    <w:rsid w:val="007550E0"/>
    <w:pPr>
      <w:tabs>
        <w:tab w:val="center" w:pos="4513"/>
        <w:tab w:val="right" w:pos="9026"/>
      </w:tabs>
    </w:pPr>
    <w:rPr>
      <w:lang w:val="x-none"/>
    </w:rPr>
  </w:style>
  <w:style w:type="character" w:customStyle="1" w:styleId="FooterChar">
    <w:name w:val="Footer Char"/>
    <w:link w:val="Footer"/>
    <w:uiPriority w:val="99"/>
    <w:rsid w:val="007550E0"/>
    <w:rPr>
      <w:rFonts w:ascii="Arial" w:hAnsi="Arial"/>
      <w:sz w:val="24"/>
      <w:lang w:eastAsia="en-GB"/>
    </w:rPr>
  </w:style>
  <w:style w:type="paragraph" w:styleId="CommentText">
    <w:name w:val="annotation text"/>
    <w:basedOn w:val="Normal"/>
    <w:link w:val="CommentTextChar"/>
    <w:uiPriority w:val="99"/>
    <w:semiHidden/>
    <w:rsid w:val="00974B93"/>
    <w:pPr>
      <w:numPr>
        <w:numId w:val="6"/>
      </w:numPr>
      <w:spacing w:after="240" w:line="280" w:lineRule="atLeast"/>
      <w:ind w:left="0" w:firstLine="0"/>
    </w:pPr>
    <w:rPr>
      <w:sz w:val="20"/>
      <w:lang w:val="en-GB"/>
    </w:rPr>
  </w:style>
  <w:style w:type="character" w:customStyle="1" w:styleId="CommentTextChar">
    <w:name w:val="Comment Text Char"/>
    <w:link w:val="CommentText"/>
    <w:uiPriority w:val="99"/>
    <w:semiHidden/>
    <w:rsid w:val="00974B93"/>
    <w:rPr>
      <w:rFonts w:ascii="Arial" w:hAnsi="Arial"/>
      <w:lang w:val="en-GB" w:eastAsia="en-GB"/>
    </w:rPr>
  </w:style>
  <w:style w:type="paragraph" w:customStyle="1" w:styleId="Bullet-list">
    <w:name w:val="Bullet-list"/>
    <w:qFormat/>
    <w:rsid w:val="00974B93"/>
    <w:pPr>
      <w:tabs>
        <w:tab w:val="num" w:pos="360"/>
      </w:tabs>
      <w:spacing w:after="180" w:line="280" w:lineRule="exact"/>
      <w:ind w:left="284" w:hanging="284"/>
    </w:pPr>
    <w:rPr>
      <w:rFonts w:ascii="Arial" w:hAnsi="Arial"/>
      <w:sz w:val="22"/>
      <w:lang w:val="en-AU" w:eastAsia="en-US"/>
    </w:rPr>
  </w:style>
  <w:style w:type="paragraph" w:styleId="ListParagraph">
    <w:name w:val="List Paragraph"/>
    <w:basedOn w:val="Normal"/>
    <w:uiPriority w:val="34"/>
    <w:qFormat/>
    <w:rsid w:val="0047358B"/>
    <w:pPr>
      <w:ind w:left="720"/>
      <w:contextualSpacing/>
      <w:jc w:val="both"/>
    </w:pPr>
    <w:rPr>
      <w:sz w:val="22"/>
      <w:lang w:eastAsia="en-US"/>
    </w:rPr>
  </w:style>
  <w:style w:type="paragraph" w:customStyle="1" w:styleId="Text">
    <w:name w:val="Text"/>
    <w:basedOn w:val="Normal"/>
    <w:link w:val="TextChar"/>
    <w:rsid w:val="0047358B"/>
    <w:pPr>
      <w:spacing w:before="120" w:after="120" w:line="300" w:lineRule="exact"/>
      <w:jc w:val="both"/>
    </w:pPr>
    <w:rPr>
      <w:sz w:val="22"/>
      <w:lang w:val="en-GB" w:eastAsia="en-US"/>
    </w:rPr>
  </w:style>
  <w:style w:type="character" w:customStyle="1" w:styleId="TextChar">
    <w:name w:val="Text Char"/>
    <w:link w:val="Text"/>
    <w:rsid w:val="0047358B"/>
    <w:rPr>
      <w:rFonts w:ascii="Arial" w:hAnsi="Arial"/>
      <w:sz w:val="22"/>
      <w:lang w:val="en-GB" w:eastAsia="en-US"/>
    </w:rPr>
  </w:style>
  <w:style w:type="character" w:customStyle="1" w:styleId="TableTextChar">
    <w:name w:val="TableText Char"/>
    <w:rsid w:val="00FC5CD1"/>
    <w:rPr>
      <w:rFonts w:ascii="Arial" w:hAnsi="Arial" w:cs="Arial" w:hint="default"/>
      <w:lang w:val="en-NZ" w:eastAsia="en-GB" w:bidi="ar-SA"/>
    </w:rPr>
  </w:style>
  <w:style w:type="paragraph" w:styleId="BalloonText">
    <w:name w:val="Balloon Text"/>
    <w:basedOn w:val="Normal"/>
    <w:link w:val="BalloonTextChar"/>
    <w:uiPriority w:val="99"/>
    <w:semiHidden/>
    <w:unhideWhenUsed/>
    <w:rsid w:val="00213A22"/>
    <w:rPr>
      <w:rFonts w:ascii="Tahoma" w:hAnsi="Tahoma"/>
      <w:sz w:val="16"/>
      <w:szCs w:val="16"/>
      <w:lang w:val="x-none"/>
    </w:rPr>
  </w:style>
  <w:style w:type="character" w:customStyle="1" w:styleId="BalloonTextChar">
    <w:name w:val="Balloon Text Char"/>
    <w:link w:val="BalloonText"/>
    <w:uiPriority w:val="99"/>
    <w:semiHidden/>
    <w:rsid w:val="00213A22"/>
    <w:rPr>
      <w:rFonts w:ascii="Tahoma" w:hAnsi="Tahoma" w:cs="Tahoma"/>
      <w:sz w:val="16"/>
      <w:szCs w:val="16"/>
      <w:lang w:eastAsia="en-GB"/>
    </w:rPr>
  </w:style>
  <w:style w:type="character" w:customStyle="1" w:styleId="FootnoteTextChar">
    <w:name w:val="Footnote Text Char"/>
    <w:link w:val="FootnoteText"/>
    <w:rsid w:val="00CA4944"/>
    <w:rPr>
      <w:rFonts w:ascii="Arial" w:hAnsi="Arial"/>
      <w:lang w:eastAsia="en-GB"/>
    </w:rPr>
  </w:style>
  <w:style w:type="paragraph" w:styleId="BodyText">
    <w:name w:val="Body Text"/>
    <w:basedOn w:val="Normal"/>
    <w:link w:val="BodyTextChar"/>
    <w:semiHidden/>
    <w:unhideWhenUsed/>
    <w:rsid w:val="00CA4944"/>
    <w:pPr>
      <w:spacing w:after="200" w:line="280" w:lineRule="atLeast"/>
    </w:pPr>
    <w:rPr>
      <w:rFonts w:eastAsia="Calibri"/>
      <w:sz w:val="22"/>
      <w:szCs w:val="22"/>
      <w:lang w:val="x-none" w:eastAsia="x-none"/>
    </w:rPr>
  </w:style>
  <w:style w:type="character" w:customStyle="1" w:styleId="BodyTextChar">
    <w:name w:val="Body Text Char"/>
    <w:link w:val="BodyText"/>
    <w:semiHidden/>
    <w:rsid w:val="00CA4944"/>
    <w:rPr>
      <w:rFonts w:ascii="Arial" w:eastAsia="Calibri" w:hAnsi="Arial"/>
      <w:sz w:val="22"/>
      <w:szCs w:val="22"/>
    </w:rPr>
  </w:style>
  <w:style w:type="paragraph" w:customStyle="1" w:styleId="Number">
    <w:name w:val="Number"/>
    <w:basedOn w:val="Normal"/>
    <w:rsid w:val="00FF79B2"/>
    <w:pPr>
      <w:tabs>
        <w:tab w:val="num" w:pos="567"/>
      </w:tabs>
      <w:spacing w:before="240"/>
      <w:ind w:left="567" w:hanging="567"/>
    </w:pPr>
    <w:rPr>
      <w:sz w:val="22"/>
    </w:rPr>
  </w:style>
  <w:style w:type="paragraph" w:styleId="Revision">
    <w:name w:val="Revision"/>
    <w:hidden/>
    <w:uiPriority w:val="99"/>
    <w:semiHidden/>
    <w:rsid w:val="00C8133F"/>
    <w:rPr>
      <w:rFonts w:ascii="Arial" w:hAnsi="Arial"/>
      <w:sz w:val="24"/>
      <w:lang w:eastAsia="en-GB"/>
    </w:rPr>
  </w:style>
  <w:style w:type="paragraph" w:customStyle="1" w:styleId="Default">
    <w:name w:val="Default"/>
    <w:rsid w:val="00A675DC"/>
    <w:pPr>
      <w:autoSpaceDE w:val="0"/>
      <w:autoSpaceDN w:val="0"/>
      <w:adjustRightInd w:val="0"/>
    </w:pPr>
    <w:rPr>
      <w:rFonts w:ascii="Arial" w:hAnsi="Arial" w:cs="Arial"/>
      <w:color w:val="000000"/>
      <w:sz w:val="24"/>
      <w:szCs w:val="24"/>
    </w:rPr>
  </w:style>
  <w:style w:type="paragraph" w:customStyle="1" w:styleId="CharChar1">
    <w:name w:val="Char Char1"/>
    <w:basedOn w:val="Normal"/>
    <w:rsid w:val="002D1FEC"/>
    <w:pPr>
      <w:spacing w:after="160" w:line="240" w:lineRule="exact"/>
    </w:pPr>
    <w:rPr>
      <w:sz w:val="20"/>
      <w:lang w:val="en-US" w:eastAsia="en-US"/>
    </w:rPr>
  </w:style>
  <w:style w:type="paragraph" w:customStyle="1" w:styleId="CabStandard">
    <w:name w:val="CabStandard"/>
    <w:basedOn w:val="Normal"/>
    <w:rsid w:val="00433867"/>
    <w:pPr>
      <w:numPr>
        <w:numId w:val="44"/>
      </w:numPr>
      <w:spacing w:after="240"/>
    </w:pPr>
    <w:rPr>
      <w:rFonts w:ascii="Times New Roman" w:hAnsi="Times New Roman"/>
      <w:lang w:val="en-GB" w:eastAsia="ja-JP"/>
    </w:rPr>
  </w:style>
  <w:style w:type="character" w:customStyle="1" w:styleId="NoteChar">
    <w:name w:val="Note Char"/>
    <w:link w:val="Note"/>
    <w:rsid w:val="00B638C1"/>
    <w:rPr>
      <w:rFonts w:ascii="Arial" w:hAnsi="Arial"/>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FEA"/>
    <w:rPr>
      <w:rFonts w:ascii="Arial" w:hAnsi="Arial"/>
      <w:sz w:val="24"/>
      <w:lang w:eastAsia="en-GB"/>
    </w:rPr>
  </w:style>
  <w:style w:type="paragraph" w:styleId="Heading1">
    <w:name w:val="heading 1"/>
    <w:basedOn w:val="Normal"/>
    <w:next w:val="Normal"/>
    <w:qFormat/>
    <w:rsid w:val="00B7551A"/>
    <w:pPr>
      <w:spacing w:after="240"/>
      <w:ind w:left="709" w:hanging="709"/>
      <w:outlineLvl w:val="0"/>
    </w:pPr>
    <w:rPr>
      <w:b/>
      <w:sz w:val="36"/>
    </w:rPr>
  </w:style>
  <w:style w:type="paragraph" w:styleId="Heading2">
    <w:name w:val="heading 2"/>
    <w:basedOn w:val="Normal"/>
    <w:next w:val="Normal"/>
    <w:qFormat/>
    <w:rsid w:val="00935879"/>
    <w:pPr>
      <w:keepNext/>
      <w:spacing w:before="120" w:after="120"/>
      <w:outlineLvl w:val="1"/>
    </w:pPr>
    <w:rPr>
      <w:b/>
      <w:sz w:val="28"/>
    </w:rPr>
  </w:style>
  <w:style w:type="paragraph" w:styleId="Heading3">
    <w:name w:val="heading 3"/>
    <w:basedOn w:val="Normal"/>
    <w:next w:val="Normal"/>
    <w:qFormat/>
    <w:rsid w:val="00935879"/>
    <w:pPr>
      <w:keepNext/>
      <w:spacing w:before="120" w:after="120"/>
      <w:outlineLvl w:val="2"/>
    </w:pPr>
    <w:rPr>
      <w:b/>
    </w:rPr>
  </w:style>
  <w:style w:type="paragraph" w:styleId="Heading4">
    <w:name w:val="heading 4"/>
    <w:basedOn w:val="Normal"/>
    <w:next w:val="Normal"/>
    <w:qFormat/>
    <w:rsid w:val="00B7551A"/>
    <w:pPr>
      <w:keepNext/>
      <w:spacing w:before="120" w:after="120"/>
      <w:outlineLvl w:val="3"/>
    </w:pPr>
    <w:rPr>
      <w:rFonts w:ascii="Arial Narrow" w:hAnsi="Arial Narrow"/>
      <w:b/>
      <w:sz w:val="26"/>
    </w:rPr>
  </w:style>
  <w:style w:type="paragraph" w:styleId="Heading5">
    <w:name w:val="heading 5"/>
    <w:basedOn w:val="Normal"/>
    <w:next w:val="Normal"/>
    <w:qFormat/>
    <w:pPr>
      <w:keepNext/>
      <w:spacing w:before="120" w:after="120"/>
      <w:outlineLvl w:val="4"/>
    </w:pPr>
    <w:rPr>
      <w:rFonts w:ascii="Arial Narrow" w:hAnsi="Arial Narrow"/>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9845AD"/>
    <w:pPr>
      <w:tabs>
        <w:tab w:val="left" w:pos="567"/>
        <w:tab w:val="right" w:pos="9356"/>
      </w:tabs>
      <w:spacing w:before="300"/>
      <w:ind w:left="567" w:right="567" w:hanging="567"/>
    </w:pPr>
    <w:rPr>
      <w:sz w:val="28"/>
    </w:rPr>
  </w:style>
  <w:style w:type="paragraph" w:styleId="TOC2">
    <w:name w:val="toc 2"/>
    <w:basedOn w:val="Normal"/>
    <w:next w:val="Normal"/>
    <w:semiHidden/>
    <w:rsid w:val="0070374B"/>
    <w:pPr>
      <w:tabs>
        <w:tab w:val="right" w:pos="9356"/>
      </w:tabs>
      <w:spacing w:before="50"/>
      <w:ind w:left="567" w:right="567"/>
    </w:pPr>
    <w:rPr>
      <w:sz w:val="20"/>
    </w:rPr>
  </w:style>
  <w:style w:type="paragraph" w:styleId="TOC3">
    <w:name w:val="toc 3"/>
    <w:basedOn w:val="Normal"/>
    <w:next w:val="Normal"/>
    <w:semiHidden/>
    <w:pPr>
      <w:tabs>
        <w:tab w:val="right" w:pos="9356"/>
      </w:tabs>
      <w:spacing w:before="60"/>
      <w:ind w:left="1134" w:right="567" w:hanging="1134"/>
    </w:pPr>
    <w:rPr>
      <w:sz w:val="20"/>
    </w:rPr>
  </w:style>
  <w:style w:type="paragraph" w:customStyle="1" w:styleId="Bullet">
    <w:name w:val="Bullet"/>
    <w:basedOn w:val="Normal"/>
    <w:qFormat/>
    <w:pPr>
      <w:numPr>
        <w:numId w:val="1"/>
      </w:numPr>
      <w:tabs>
        <w:tab w:val="left" w:pos="284"/>
      </w:tabs>
      <w:spacing w:before="120"/>
    </w:pPr>
  </w:style>
  <w:style w:type="paragraph" w:styleId="Quote">
    <w:name w:val="Quote"/>
    <w:basedOn w:val="Normal"/>
    <w:next w:val="Normal"/>
    <w:qFormat/>
    <w:pPr>
      <w:spacing w:before="120"/>
      <w:ind w:left="284" w:right="284"/>
    </w:pPr>
  </w:style>
  <w:style w:type="paragraph" w:styleId="FootnoteText">
    <w:name w:val="footnote text"/>
    <w:basedOn w:val="Normal"/>
    <w:link w:val="FootnoteTextChar"/>
    <w:pPr>
      <w:spacing w:before="60"/>
      <w:ind w:left="284" w:hanging="284"/>
    </w:pPr>
    <w:rPr>
      <w:sz w:val="20"/>
      <w:lang w:val="x-none"/>
    </w:rPr>
  </w:style>
  <w:style w:type="paragraph" w:styleId="Header">
    <w:name w:val="header"/>
    <w:basedOn w:val="Normal"/>
  </w:style>
  <w:style w:type="paragraph" w:styleId="Title">
    <w:name w:val="Title"/>
    <w:basedOn w:val="Normal"/>
    <w:next w:val="Normal"/>
    <w:qFormat/>
    <w:rsid w:val="003A5FEA"/>
    <w:rPr>
      <w:b/>
      <w:sz w:val="64"/>
    </w:rPr>
  </w:style>
  <w:style w:type="paragraph" w:customStyle="1" w:styleId="Imprint">
    <w:name w:val="Imprint"/>
    <w:basedOn w:val="Normal"/>
    <w:next w:val="Normal"/>
    <w:pPr>
      <w:spacing w:after="240"/>
      <w:jc w:val="center"/>
    </w:pPr>
  </w:style>
  <w:style w:type="character" w:styleId="PageNumber">
    <w:name w:val="page number"/>
    <w:rsid w:val="003A5FEA"/>
    <w:rPr>
      <w:rFonts w:ascii="Arial" w:hAnsi="Arial"/>
      <w:b/>
      <w:sz w:val="28"/>
    </w:rPr>
  </w:style>
  <w:style w:type="paragraph" w:customStyle="1" w:styleId="VersoFooter">
    <w:name w:val="Verso Footer"/>
    <w:basedOn w:val="Normal"/>
    <w:rsid w:val="009F2D15"/>
    <w:pPr>
      <w:pBdr>
        <w:top w:val="single" w:sz="4" w:space="1" w:color="auto"/>
      </w:pBdr>
      <w:tabs>
        <w:tab w:val="left" w:pos="709"/>
      </w:tabs>
    </w:pPr>
    <w:rPr>
      <w:b/>
      <w:sz w:val="20"/>
    </w:rPr>
  </w:style>
  <w:style w:type="paragraph" w:customStyle="1" w:styleId="RectoFooter">
    <w:name w:val="Recto Footer"/>
    <w:basedOn w:val="Normal"/>
    <w:rsid w:val="009F2D15"/>
    <w:pPr>
      <w:pBdr>
        <w:top w:val="single" w:sz="4" w:space="1" w:color="auto"/>
      </w:pBdr>
      <w:tabs>
        <w:tab w:val="right" w:pos="8647"/>
        <w:tab w:val="right" w:pos="9356"/>
      </w:tabs>
    </w:pPr>
    <w:rPr>
      <w:b/>
      <w:sz w:val="20"/>
    </w:rPr>
  </w:style>
  <w:style w:type="paragraph" w:customStyle="1" w:styleId="Figure">
    <w:name w:val="Figure"/>
    <w:basedOn w:val="Normal"/>
    <w:next w:val="Normal"/>
    <w:pPr>
      <w:keepNext/>
      <w:spacing w:before="120" w:after="120"/>
      <w:ind w:left="1134" w:hanging="1134"/>
    </w:pPr>
    <w:rPr>
      <w:b/>
      <w:sz w:val="22"/>
    </w:rPr>
  </w:style>
  <w:style w:type="character" w:styleId="FootnoteReference">
    <w:name w:val="footnote reference"/>
    <w:rPr>
      <w:vertAlign w:val="superscript"/>
    </w:rPr>
  </w:style>
  <w:style w:type="paragraph" w:customStyle="1" w:styleId="Table">
    <w:name w:val="Table"/>
    <w:basedOn w:val="Figure"/>
    <w:qFormat/>
  </w:style>
  <w:style w:type="paragraph" w:customStyle="1" w:styleId="Dash">
    <w:name w:val="Dash"/>
    <w:basedOn w:val="Bullet"/>
    <w:rsid w:val="00702854"/>
    <w:pPr>
      <w:numPr>
        <w:numId w:val="3"/>
      </w:numPr>
      <w:tabs>
        <w:tab w:val="clear" w:pos="284"/>
      </w:tabs>
      <w:spacing w:before="60"/>
    </w:pPr>
  </w:style>
  <w:style w:type="paragraph" w:customStyle="1" w:styleId="TableBullet">
    <w:name w:val="TableBullet"/>
    <w:basedOn w:val="Normal"/>
    <w:rsid w:val="009F2D15"/>
    <w:pPr>
      <w:numPr>
        <w:numId w:val="5"/>
      </w:numPr>
      <w:spacing w:after="80"/>
    </w:pPr>
    <w:rPr>
      <w:sz w:val="20"/>
    </w:rPr>
  </w:style>
  <w:style w:type="paragraph" w:customStyle="1" w:styleId="Box">
    <w:name w:val="Box"/>
    <w:basedOn w:val="Normal"/>
    <w:rsid w:val="003B26D2"/>
    <w:pPr>
      <w:pBdr>
        <w:top w:val="single" w:sz="4" w:space="6" w:color="auto"/>
        <w:left w:val="single" w:sz="4" w:space="6" w:color="auto"/>
        <w:bottom w:val="single" w:sz="4" w:space="6" w:color="auto"/>
        <w:right w:val="single" w:sz="4" w:space="6" w:color="auto"/>
      </w:pBdr>
      <w:spacing w:before="120"/>
      <w:ind w:left="142" w:right="5670"/>
    </w:pPr>
    <w:rPr>
      <w:sz w:val="22"/>
    </w:rPr>
  </w:style>
  <w:style w:type="paragraph" w:customStyle="1" w:styleId="BoxHeading">
    <w:name w:val="BoxHeading"/>
    <w:basedOn w:val="Box"/>
    <w:rPr>
      <w:b/>
      <w:sz w:val="24"/>
    </w:rPr>
  </w:style>
  <w:style w:type="paragraph" w:customStyle="1" w:styleId="BoxBullet">
    <w:name w:val="BoxBullet"/>
    <w:basedOn w:val="Box"/>
    <w:pPr>
      <w:numPr>
        <w:numId w:val="2"/>
      </w:numPr>
      <w:tabs>
        <w:tab w:val="clear" w:pos="360"/>
      </w:tabs>
      <w:spacing w:before="60"/>
      <w:ind w:left="568"/>
    </w:pPr>
  </w:style>
  <w:style w:type="paragraph" w:customStyle="1" w:styleId="IntroHead">
    <w:name w:val="IntroHead"/>
    <w:basedOn w:val="Heading1"/>
    <w:next w:val="Normal"/>
    <w:pPr>
      <w:outlineLvl w:val="9"/>
    </w:pPr>
  </w:style>
  <w:style w:type="paragraph" w:customStyle="1" w:styleId="Source">
    <w:name w:val="Source"/>
    <w:basedOn w:val="Figure"/>
    <w:next w:val="Normal"/>
    <w:qFormat/>
    <w:pPr>
      <w:keepNext w:val="0"/>
      <w:spacing w:before="80" w:after="0"/>
      <w:ind w:left="0" w:firstLine="0"/>
    </w:pPr>
    <w:rPr>
      <w:b w:val="0"/>
      <w:sz w:val="20"/>
    </w:rPr>
  </w:style>
  <w:style w:type="paragraph" w:customStyle="1" w:styleId="Subhead">
    <w:name w:val="Subhead"/>
    <w:basedOn w:val="Normal"/>
    <w:next w:val="Normal"/>
    <w:rsid w:val="00147F71"/>
    <w:rPr>
      <w:sz w:val="48"/>
    </w:rPr>
  </w:style>
  <w:style w:type="character" w:styleId="Hyperlink">
    <w:name w:val="Hyperlink"/>
    <w:uiPriority w:val="99"/>
    <w:rPr>
      <w:color w:val="auto"/>
      <w:u w:val="none"/>
    </w:rPr>
  </w:style>
  <w:style w:type="paragraph" w:customStyle="1" w:styleId="Note">
    <w:name w:val="Note"/>
    <w:basedOn w:val="Normal"/>
    <w:next w:val="Normal"/>
    <w:link w:val="NoteChar"/>
    <w:qFormat/>
    <w:pPr>
      <w:spacing w:before="80"/>
      <w:ind w:left="284" w:hanging="284"/>
    </w:pPr>
    <w:rPr>
      <w:sz w:val="20"/>
      <w:lang w:val="x-none"/>
    </w:rPr>
  </w:style>
  <w:style w:type="paragraph" w:customStyle="1" w:styleId="TableDash">
    <w:name w:val="TableDash"/>
    <w:basedOn w:val="Normal"/>
    <w:rsid w:val="009F2D15"/>
    <w:pPr>
      <w:numPr>
        <w:numId w:val="4"/>
      </w:numPr>
      <w:spacing w:before="40"/>
    </w:pPr>
    <w:rPr>
      <w:sz w:val="20"/>
      <w:szCs w:val="22"/>
    </w:rPr>
  </w:style>
  <w:style w:type="paragraph" w:customStyle="1" w:styleId="TableText">
    <w:name w:val="TableText"/>
    <w:basedOn w:val="Normal"/>
    <w:qFormat/>
    <w:rsid w:val="00935879"/>
    <w:pPr>
      <w:spacing w:before="80" w:after="80"/>
    </w:pPr>
    <w:rPr>
      <w:sz w:val="20"/>
    </w:rPr>
  </w:style>
  <w:style w:type="table" w:styleId="TableGrid">
    <w:name w:val="Table Grid"/>
    <w:basedOn w:val="TableNormal"/>
    <w:rsid w:val="00402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rsid w:val="00C77A91"/>
    <w:pPr>
      <w:spacing w:after="180"/>
    </w:pPr>
    <w:rPr>
      <w:sz w:val="22"/>
    </w:rPr>
  </w:style>
  <w:style w:type="paragraph" w:styleId="Footer">
    <w:name w:val="footer"/>
    <w:basedOn w:val="Normal"/>
    <w:link w:val="FooterChar"/>
    <w:uiPriority w:val="99"/>
    <w:unhideWhenUsed/>
    <w:rsid w:val="007550E0"/>
    <w:pPr>
      <w:tabs>
        <w:tab w:val="center" w:pos="4513"/>
        <w:tab w:val="right" w:pos="9026"/>
      </w:tabs>
    </w:pPr>
    <w:rPr>
      <w:lang w:val="x-none"/>
    </w:rPr>
  </w:style>
  <w:style w:type="character" w:customStyle="1" w:styleId="FooterChar">
    <w:name w:val="Footer Char"/>
    <w:link w:val="Footer"/>
    <w:uiPriority w:val="99"/>
    <w:rsid w:val="007550E0"/>
    <w:rPr>
      <w:rFonts w:ascii="Arial" w:hAnsi="Arial"/>
      <w:sz w:val="24"/>
      <w:lang w:eastAsia="en-GB"/>
    </w:rPr>
  </w:style>
  <w:style w:type="paragraph" w:styleId="CommentText">
    <w:name w:val="annotation text"/>
    <w:basedOn w:val="Normal"/>
    <w:link w:val="CommentTextChar"/>
    <w:uiPriority w:val="99"/>
    <w:semiHidden/>
    <w:rsid w:val="00974B93"/>
    <w:pPr>
      <w:numPr>
        <w:numId w:val="6"/>
      </w:numPr>
      <w:spacing w:after="240" w:line="280" w:lineRule="atLeast"/>
      <w:ind w:left="0" w:firstLine="0"/>
    </w:pPr>
    <w:rPr>
      <w:sz w:val="20"/>
      <w:lang w:val="en-GB"/>
    </w:rPr>
  </w:style>
  <w:style w:type="character" w:customStyle="1" w:styleId="CommentTextChar">
    <w:name w:val="Comment Text Char"/>
    <w:link w:val="CommentText"/>
    <w:uiPriority w:val="99"/>
    <w:semiHidden/>
    <w:rsid w:val="00974B93"/>
    <w:rPr>
      <w:rFonts w:ascii="Arial" w:hAnsi="Arial"/>
      <w:lang w:val="en-GB" w:eastAsia="en-GB"/>
    </w:rPr>
  </w:style>
  <w:style w:type="paragraph" w:customStyle="1" w:styleId="Bullet-list">
    <w:name w:val="Bullet-list"/>
    <w:qFormat/>
    <w:rsid w:val="00974B93"/>
    <w:pPr>
      <w:tabs>
        <w:tab w:val="num" w:pos="360"/>
      </w:tabs>
      <w:spacing w:after="180" w:line="280" w:lineRule="exact"/>
      <w:ind w:left="284" w:hanging="284"/>
    </w:pPr>
    <w:rPr>
      <w:rFonts w:ascii="Arial" w:hAnsi="Arial"/>
      <w:sz w:val="22"/>
      <w:lang w:val="en-AU" w:eastAsia="en-US"/>
    </w:rPr>
  </w:style>
  <w:style w:type="paragraph" w:styleId="ListParagraph">
    <w:name w:val="List Paragraph"/>
    <w:basedOn w:val="Normal"/>
    <w:uiPriority w:val="34"/>
    <w:qFormat/>
    <w:rsid w:val="0047358B"/>
    <w:pPr>
      <w:ind w:left="720"/>
      <w:contextualSpacing/>
      <w:jc w:val="both"/>
    </w:pPr>
    <w:rPr>
      <w:sz w:val="22"/>
      <w:lang w:eastAsia="en-US"/>
    </w:rPr>
  </w:style>
  <w:style w:type="paragraph" w:customStyle="1" w:styleId="Text">
    <w:name w:val="Text"/>
    <w:basedOn w:val="Normal"/>
    <w:link w:val="TextChar"/>
    <w:rsid w:val="0047358B"/>
    <w:pPr>
      <w:spacing w:before="120" w:after="120" w:line="300" w:lineRule="exact"/>
      <w:jc w:val="both"/>
    </w:pPr>
    <w:rPr>
      <w:sz w:val="22"/>
      <w:lang w:val="en-GB" w:eastAsia="en-US"/>
    </w:rPr>
  </w:style>
  <w:style w:type="character" w:customStyle="1" w:styleId="TextChar">
    <w:name w:val="Text Char"/>
    <w:link w:val="Text"/>
    <w:rsid w:val="0047358B"/>
    <w:rPr>
      <w:rFonts w:ascii="Arial" w:hAnsi="Arial"/>
      <w:sz w:val="22"/>
      <w:lang w:val="en-GB" w:eastAsia="en-US"/>
    </w:rPr>
  </w:style>
  <w:style w:type="character" w:customStyle="1" w:styleId="TableTextChar">
    <w:name w:val="TableText Char"/>
    <w:rsid w:val="00FC5CD1"/>
    <w:rPr>
      <w:rFonts w:ascii="Arial" w:hAnsi="Arial" w:cs="Arial" w:hint="default"/>
      <w:lang w:val="en-NZ" w:eastAsia="en-GB" w:bidi="ar-SA"/>
    </w:rPr>
  </w:style>
  <w:style w:type="paragraph" w:styleId="BalloonText">
    <w:name w:val="Balloon Text"/>
    <w:basedOn w:val="Normal"/>
    <w:link w:val="BalloonTextChar"/>
    <w:uiPriority w:val="99"/>
    <w:semiHidden/>
    <w:unhideWhenUsed/>
    <w:rsid w:val="00213A22"/>
    <w:rPr>
      <w:rFonts w:ascii="Tahoma" w:hAnsi="Tahoma"/>
      <w:sz w:val="16"/>
      <w:szCs w:val="16"/>
      <w:lang w:val="x-none"/>
    </w:rPr>
  </w:style>
  <w:style w:type="character" w:customStyle="1" w:styleId="BalloonTextChar">
    <w:name w:val="Balloon Text Char"/>
    <w:link w:val="BalloonText"/>
    <w:uiPriority w:val="99"/>
    <w:semiHidden/>
    <w:rsid w:val="00213A22"/>
    <w:rPr>
      <w:rFonts w:ascii="Tahoma" w:hAnsi="Tahoma" w:cs="Tahoma"/>
      <w:sz w:val="16"/>
      <w:szCs w:val="16"/>
      <w:lang w:eastAsia="en-GB"/>
    </w:rPr>
  </w:style>
  <w:style w:type="character" w:customStyle="1" w:styleId="FootnoteTextChar">
    <w:name w:val="Footnote Text Char"/>
    <w:link w:val="FootnoteText"/>
    <w:rsid w:val="00CA4944"/>
    <w:rPr>
      <w:rFonts w:ascii="Arial" w:hAnsi="Arial"/>
      <w:lang w:eastAsia="en-GB"/>
    </w:rPr>
  </w:style>
  <w:style w:type="paragraph" w:styleId="BodyText">
    <w:name w:val="Body Text"/>
    <w:basedOn w:val="Normal"/>
    <w:link w:val="BodyTextChar"/>
    <w:semiHidden/>
    <w:unhideWhenUsed/>
    <w:rsid w:val="00CA4944"/>
    <w:pPr>
      <w:spacing w:after="200" w:line="280" w:lineRule="atLeast"/>
    </w:pPr>
    <w:rPr>
      <w:rFonts w:eastAsia="Calibri"/>
      <w:sz w:val="22"/>
      <w:szCs w:val="22"/>
      <w:lang w:val="x-none" w:eastAsia="x-none"/>
    </w:rPr>
  </w:style>
  <w:style w:type="character" w:customStyle="1" w:styleId="BodyTextChar">
    <w:name w:val="Body Text Char"/>
    <w:link w:val="BodyText"/>
    <w:semiHidden/>
    <w:rsid w:val="00CA4944"/>
    <w:rPr>
      <w:rFonts w:ascii="Arial" w:eastAsia="Calibri" w:hAnsi="Arial"/>
      <w:sz w:val="22"/>
      <w:szCs w:val="22"/>
    </w:rPr>
  </w:style>
  <w:style w:type="paragraph" w:customStyle="1" w:styleId="Number">
    <w:name w:val="Number"/>
    <w:basedOn w:val="Normal"/>
    <w:rsid w:val="00FF79B2"/>
    <w:pPr>
      <w:tabs>
        <w:tab w:val="num" w:pos="567"/>
      </w:tabs>
      <w:spacing w:before="240"/>
      <w:ind w:left="567" w:hanging="567"/>
    </w:pPr>
    <w:rPr>
      <w:sz w:val="22"/>
    </w:rPr>
  </w:style>
  <w:style w:type="paragraph" w:styleId="Revision">
    <w:name w:val="Revision"/>
    <w:hidden/>
    <w:uiPriority w:val="99"/>
    <w:semiHidden/>
    <w:rsid w:val="00C8133F"/>
    <w:rPr>
      <w:rFonts w:ascii="Arial" w:hAnsi="Arial"/>
      <w:sz w:val="24"/>
      <w:lang w:eastAsia="en-GB"/>
    </w:rPr>
  </w:style>
  <w:style w:type="paragraph" w:customStyle="1" w:styleId="Default">
    <w:name w:val="Default"/>
    <w:rsid w:val="00A675DC"/>
    <w:pPr>
      <w:autoSpaceDE w:val="0"/>
      <w:autoSpaceDN w:val="0"/>
      <w:adjustRightInd w:val="0"/>
    </w:pPr>
    <w:rPr>
      <w:rFonts w:ascii="Arial" w:hAnsi="Arial" w:cs="Arial"/>
      <w:color w:val="000000"/>
      <w:sz w:val="24"/>
      <w:szCs w:val="24"/>
    </w:rPr>
  </w:style>
  <w:style w:type="paragraph" w:customStyle="1" w:styleId="CharChar1">
    <w:name w:val="Char Char1"/>
    <w:basedOn w:val="Normal"/>
    <w:rsid w:val="002D1FEC"/>
    <w:pPr>
      <w:spacing w:after="160" w:line="240" w:lineRule="exact"/>
    </w:pPr>
    <w:rPr>
      <w:sz w:val="20"/>
      <w:lang w:val="en-US" w:eastAsia="en-US"/>
    </w:rPr>
  </w:style>
  <w:style w:type="paragraph" w:customStyle="1" w:styleId="CabStandard">
    <w:name w:val="CabStandard"/>
    <w:basedOn w:val="Normal"/>
    <w:rsid w:val="00433867"/>
    <w:pPr>
      <w:numPr>
        <w:numId w:val="44"/>
      </w:numPr>
      <w:spacing w:after="240"/>
    </w:pPr>
    <w:rPr>
      <w:rFonts w:ascii="Times New Roman" w:hAnsi="Times New Roman"/>
      <w:lang w:val="en-GB" w:eastAsia="ja-JP"/>
    </w:rPr>
  </w:style>
  <w:style w:type="character" w:customStyle="1" w:styleId="NoteChar">
    <w:name w:val="Note Char"/>
    <w:link w:val="Note"/>
    <w:rsid w:val="00B638C1"/>
    <w:rPr>
      <w:rFonts w:ascii="Arial" w:hAnsi="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0300">
      <w:bodyDiv w:val="1"/>
      <w:marLeft w:val="0"/>
      <w:marRight w:val="0"/>
      <w:marTop w:val="0"/>
      <w:marBottom w:val="0"/>
      <w:divBdr>
        <w:top w:val="none" w:sz="0" w:space="0" w:color="auto"/>
        <w:left w:val="none" w:sz="0" w:space="0" w:color="auto"/>
        <w:bottom w:val="none" w:sz="0" w:space="0" w:color="auto"/>
        <w:right w:val="none" w:sz="0" w:space="0" w:color="auto"/>
      </w:divBdr>
    </w:div>
    <w:div w:id="16125236">
      <w:bodyDiv w:val="1"/>
      <w:marLeft w:val="0"/>
      <w:marRight w:val="0"/>
      <w:marTop w:val="0"/>
      <w:marBottom w:val="0"/>
      <w:divBdr>
        <w:top w:val="none" w:sz="0" w:space="0" w:color="auto"/>
        <w:left w:val="none" w:sz="0" w:space="0" w:color="auto"/>
        <w:bottom w:val="none" w:sz="0" w:space="0" w:color="auto"/>
        <w:right w:val="none" w:sz="0" w:space="0" w:color="auto"/>
      </w:divBdr>
    </w:div>
    <w:div w:id="133377720">
      <w:bodyDiv w:val="1"/>
      <w:marLeft w:val="0"/>
      <w:marRight w:val="0"/>
      <w:marTop w:val="0"/>
      <w:marBottom w:val="0"/>
      <w:divBdr>
        <w:top w:val="none" w:sz="0" w:space="0" w:color="auto"/>
        <w:left w:val="none" w:sz="0" w:space="0" w:color="auto"/>
        <w:bottom w:val="none" w:sz="0" w:space="0" w:color="auto"/>
        <w:right w:val="none" w:sz="0" w:space="0" w:color="auto"/>
      </w:divBdr>
    </w:div>
    <w:div w:id="193422338">
      <w:bodyDiv w:val="1"/>
      <w:marLeft w:val="0"/>
      <w:marRight w:val="0"/>
      <w:marTop w:val="0"/>
      <w:marBottom w:val="0"/>
      <w:divBdr>
        <w:top w:val="none" w:sz="0" w:space="0" w:color="auto"/>
        <w:left w:val="none" w:sz="0" w:space="0" w:color="auto"/>
        <w:bottom w:val="none" w:sz="0" w:space="0" w:color="auto"/>
        <w:right w:val="none" w:sz="0" w:space="0" w:color="auto"/>
      </w:divBdr>
    </w:div>
    <w:div w:id="321739648">
      <w:bodyDiv w:val="1"/>
      <w:marLeft w:val="0"/>
      <w:marRight w:val="0"/>
      <w:marTop w:val="0"/>
      <w:marBottom w:val="0"/>
      <w:divBdr>
        <w:top w:val="none" w:sz="0" w:space="0" w:color="auto"/>
        <w:left w:val="none" w:sz="0" w:space="0" w:color="auto"/>
        <w:bottom w:val="none" w:sz="0" w:space="0" w:color="auto"/>
        <w:right w:val="none" w:sz="0" w:space="0" w:color="auto"/>
      </w:divBdr>
    </w:div>
    <w:div w:id="433985880">
      <w:bodyDiv w:val="1"/>
      <w:marLeft w:val="0"/>
      <w:marRight w:val="0"/>
      <w:marTop w:val="0"/>
      <w:marBottom w:val="0"/>
      <w:divBdr>
        <w:top w:val="none" w:sz="0" w:space="0" w:color="auto"/>
        <w:left w:val="none" w:sz="0" w:space="0" w:color="auto"/>
        <w:bottom w:val="none" w:sz="0" w:space="0" w:color="auto"/>
        <w:right w:val="none" w:sz="0" w:space="0" w:color="auto"/>
      </w:divBdr>
    </w:div>
    <w:div w:id="517544917">
      <w:bodyDiv w:val="1"/>
      <w:marLeft w:val="0"/>
      <w:marRight w:val="0"/>
      <w:marTop w:val="0"/>
      <w:marBottom w:val="0"/>
      <w:divBdr>
        <w:top w:val="none" w:sz="0" w:space="0" w:color="auto"/>
        <w:left w:val="none" w:sz="0" w:space="0" w:color="auto"/>
        <w:bottom w:val="none" w:sz="0" w:space="0" w:color="auto"/>
        <w:right w:val="none" w:sz="0" w:space="0" w:color="auto"/>
      </w:divBdr>
    </w:div>
    <w:div w:id="543450501">
      <w:bodyDiv w:val="1"/>
      <w:marLeft w:val="0"/>
      <w:marRight w:val="0"/>
      <w:marTop w:val="0"/>
      <w:marBottom w:val="0"/>
      <w:divBdr>
        <w:top w:val="none" w:sz="0" w:space="0" w:color="auto"/>
        <w:left w:val="none" w:sz="0" w:space="0" w:color="auto"/>
        <w:bottom w:val="none" w:sz="0" w:space="0" w:color="auto"/>
        <w:right w:val="none" w:sz="0" w:space="0" w:color="auto"/>
      </w:divBdr>
    </w:div>
    <w:div w:id="859126844">
      <w:bodyDiv w:val="1"/>
      <w:marLeft w:val="0"/>
      <w:marRight w:val="0"/>
      <w:marTop w:val="0"/>
      <w:marBottom w:val="0"/>
      <w:divBdr>
        <w:top w:val="none" w:sz="0" w:space="0" w:color="auto"/>
        <w:left w:val="none" w:sz="0" w:space="0" w:color="auto"/>
        <w:bottom w:val="none" w:sz="0" w:space="0" w:color="auto"/>
        <w:right w:val="none" w:sz="0" w:space="0" w:color="auto"/>
      </w:divBdr>
    </w:div>
    <w:div w:id="874930946">
      <w:bodyDiv w:val="1"/>
      <w:marLeft w:val="0"/>
      <w:marRight w:val="0"/>
      <w:marTop w:val="0"/>
      <w:marBottom w:val="0"/>
      <w:divBdr>
        <w:top w:val="none" w:sz="0" w:space="0" w:color="auto"/>
        <w:left w:val="none" w:sz="0" w:space="0" w:color="auto"/>
        <w:bottom w:val="none" w:sz="0" w:space="0" w:color="auto"/>
        <w:right w:val="none" w:sz="0" w:space="0" w:color="auto"/>
      </w:divBdr>
    </w:div>
    <w:div w:id="1183131373">
      <w:bodyDiv w:val="1"/>
      <w:marLeft w:val="0"/>
      <w:marRight w:val="0"/>
      <w:marTop w:val="0"/>
      <w:marBottom w:val="0"/>
      <w:divBdr>
        <w:top w:val="none" w:sz="0" w:space="0" w:color="auto"/>
        <w:left w:val="none" w:sz="0" w:space="0" w:color="auto"/>
        <w:bottom w:val="none" w:sz="0" w:space="0" w:color="auto"/>
        <w:right w:val="none" w:sz="0" w:space="0" w:color="auto"/>
      </w:divBdr>
    </w:div>
    <w:div w:id="1295793249">
      <w:bodyDiv w:val="1"/>
      <w:marLeft w:val="0"/>
      <w:marRight w:val="0"/>
      <w:marTop w:val="0"/>
      <w:marBottom w:val="0"/>
      <w:divBdr>
        <w:top w:val="none" w:sz="0" w:space="0" w:color="auto"/>
        <w:left w:val="none" w:sz="0" w:space="0" w:color="auto"/>
        <w:bottom w:val="none" w:sz="0" w:space="0" w:color="auto"/>
        <w:right w:val="none" w:sz="0" w:space="0" w:color="auto"/>
      </w:divBdr>
    </w:div>
    <w:div w:id="1417241082">
      <w:bodyDiv w:val="1"/>
      <w:marLeft w:val="0"/>
      <w:marRight w:val="0"/>
      <w:marTop w:val="0"/>
      <w:marBottom w:val="0"/>
      <w:divBdr>
        <w:top w:val="none" w:sz="0" w:space="0" w:color="auto"/>
        <w:left w:val="none" w:sz="0" w:space="0" w:color="auto"/>
        <w:bottom w:val="none" w:sz="0" w:space="0" w:color="auto"/>
        <w:right w:val="none" w:sz="0" w:space="0" w:color="auto"/>
      </w:divBdr>
    </w:div>
    <w:div w:id="1580092424">
      <w:bodyDiv w:val="1"/>
      <w:marLeft w:val="0"/>
      <w:marRight w:val="0"/>
      <w:marTop w:val="0"/>
      <w:marBottom w:val="0"/>
      <w:divBdr>
        <w:top w:val="none" w:sz="0" w:space="0" w:color="auto"/>
        <w:left w:val="none" w:sz="0" w:space="0" w:color="auto"/>
        <w:bottom w:val="none" w:sz="0" w:space="0" w:color="auto"/>
        <w:right w:val="none" w:sz="0" w:space="0" w:color="auto"/>
      </w:divBdr>
    </w:div>
    <w:div w:id="1853563839">
      <w:bodyDiv w:val="1"/>
      <w:marLeft w:val="0"/>
      <w:marRight w:val="0"/>
      <w:marTop w:val="0"/>
      <w:marBottom w:val="0"/>
      <w:divBdr>
        <w:top w:val="none" w:sz="0" w:space="0" w:color="auto"/>
        <w:left w:val="none" w:sz="0" w:space="0" w:color="auto"/>
        <w:bottom w:val="none" w:sz="0" w:space="0" w:color="auto"/>
        <w:right w:val="none" w:sz="0" w:space="0" w:color="auto"/>
      </w:divBdr>
    </w:div>
    <w:div w:id="209658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gislation.govt.nz/act/public/2003/0051/latest/DLM207497.html" TargetMode="Externa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gamblingcommission.govt.nz/GCwebsite.nsf/wpg_URL/Reports-Publications-Proposed-Problem-Gambling-Levy-(November-2009)!OpenDocume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New%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8AD0D-8CEC-4EC7-8F7C-4CCA05699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Report Sans Serif Body</Template>
  <TotalTime>0</TotalTime>
  <Pages>31</Pages>
  <Words>12088</Words>
  <Characters>66401</Characters>
  <Application>Microsoft Office Word</Application>
  <DocSecurity>4</DocSecurity>
  <Lines>553</Lines>
  <Paragraphs>156</Paragraphs>
  <ScaleCrop>false</ScaleCrop>
  <HeadingPairs>
    <vt:vector size="2" baseType="variant">
      <vt:variant>
        <vt:lpstr>Title</vt:lpstr>
      </vt:variant>
      <vt:variant>
        <vt:i4>1</vt:i4>
      </vt:variant>
    </vt:vector>
  </HeadingPairs>
  <TitlesOfParts>
    <vt:vector size="1" baseType="lpstr">
      <vt:lpstr/>
    </vt:vector>
  </TitlesOfParts>
  <Company>Wordprocessing Services</Company>
  <LinksUpToDate>false</LinksUpToDate>
  <CharactersWithSpaces>78333</CharactersWithSpaces>
  <SharedDoc>false</SharedDoc>
  <HLinks>
    <vt:vector size="6" baseType="variant">
      <vt:variant>
        <vt:i4>5701643</vt:i4>
      </vt:variant>
      <vt:variant>
        <vt:i4>96</vt:i4>
      </vt:variant>
      <vt:variant>
        <vt:i4>0</vt:i4>
      </vt:variant>
      <vt:variant>
        <vt:i4>5</vt:i4>
      </vt:variant>
      <vt:variant>
        <vt:lpwstr>http://www.legislation.govt.nz/act/public/2003/0051/latest/DLM207497.html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Draft RIS 2013/14 to 2015/16 Service Plan</dc:subject>
  <dc:creator>Dianne Grain</dc:creator>
  <cp:lastModifiedBy>Bruce Atmore</cp:lastModifiedBy>
  <cp:revision>2</cp:revision>
  <cp:lastPrinted>2016-02-21T23:00:00Z</cp:lastPrinted>
  <dcterms:created xsi:type="dcterms:W3CDTF">2016-06-28T04:06:00Z</dcterms:created>
  <dcterms:modified xsi:type="dcterms:W3CDTF">2016-06-28T04:06:00Z</dcterms:modified>
</cp:coreProperties>
</file>

<file path=docProps/custom.xml><?xml version="1.0" encoding="utf-8"?>
<Properties xmlns="http://schemas.openxmlformats.org/officeDocument/2006/custom-properties" xmlns:vt="http://schemas.openxmlformats.org/officeDocument/2006/docPropsVTypes"/>
</file>